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icp-segmentation"/>
    <w:p>
      <w:pPr>
        <w:pStyle w:val="Heading1"/>
      </w:pPr>
      <w:r>
        <w:t xml:space="preserve">ICP &amp; Segmentation</w:t>
      </w:r>
    </w:p>
    <w:p>
      <w:pPr>
        <w:pStyle w:val="FirstParagraph"/>
      </w:pPr>
      <w:r>
        <w:rPr>
          <w:bCs/>
          <w:b/>
        </w:rPr>
        <w:t xml:space="preserve">Status: 🟡 grounded in actual pipeline composition; broader segmentation is [CONFIRM].</w:t>
      </w:r>
    </w:p>
    <w:bookmarkStart w:id="20" w:name="Xfcca92ca222e29dfceb763196e4b5d97e1a67de"/>
    <w:p>
      <w:pPr>
        <w:pStyle w:val="Heading2"/>
      </w:pPr>
      <w:r>
        <w:t xml:space="preserve">Who buys, who pays, who uses the report — by channel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decides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pays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uses the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agronomic consultant with large managed footprint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Thales</w:t>
            </w:r>
            <w:r>
              <w:t xml:space="preserve"> </w:t>
            </w:r>
            <w:r>
              <w:t xml:space="preserve">— ~30,000 ha cacao, Bahia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consultant (for the relationship), but ultimate hectares belong to individual landowners — [CONFIRM the actual decision/payment structure: does Thales buy on behalf of clients, or refer them?]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Thales + underlying landowners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Cooperative / association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Coplacana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 leadership/technical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 — cooperative budget vs. pass-through to members]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 producers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 mid-size producer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Fabio (CAR/SICAR survey)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owner directly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owner directly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owner + anyone relying on the registry data (bank, certifier)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institution / credit desk (future channel)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officer / risk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institution, or pass-through to the borrower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officer, borrower</w:t>
            </w:r>
          </w:p>
        </w:tc>
      </w:tr>
    </w:tbl>
    <w:bookmarkEnd w:id="20"/>
    <w:bookmarkStart w:id="21" w:name="primary-icp-near-term"/>
    <w:p>
      <w:pPr>
        <w:pStyle w:val="Heading2"/>
      </w:pPr>
      <w:r>
        <w:t xml:space="preserve">Primary ICP (near-term)</w:t>
      </w:r>
    </w:p>
    <w:p>
      <w:pPr>
        <w:pStyle w:val="FirstParagraph"/>
      </w:pPr>
      <w:r>
        <w:t xml:space="preserve">Consultants and cooperatives with existing multi-thousand-hectare</w:t>
      </w:r>
      <w:r>
        <w:t xml:space="preserve"> </w:t>
      </w:r>
      <w:r>
        <w:t xml:space="preserve">relationships in crops/regions where credit or carbon-market access is a</w:t>
      </w:r>
      <w:r>
        <w:t xml:space="preserve"> </w:t>
      </w:r>
      <w:r>
        <w:t xml:space="preserve">live concern — this is where the confirmed pipeline (Thales, Coplacana)</w:t>
      </w:r>
      <w:r>
        <w:t xml:space="preserve"> </w:t>
      </w:r>
      <w:r>
        <w:t xml:space="preserve">already sits, and it’s a structurally more efficient motion than</w:t>
      </w:r>
      <w:r>
        <w:t xml:space="preserve"> </w:t>
      </w:r>
      <w:r>
        <w:t xml:space="preserve">farm-by-farm direct sales (see</w:t>
      </w:r>
      <w:r>
        <w:t xml:space="preserve"> </w:t>
      </w:r>
      <w:r>
        <w:rPr>
          <w:rStyle w:val="VerbatimChar"/>
        </w:rPr>
        <w:t xml:space="preserve">GTM_STRATEGY.md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AgrosTech — ICP &amp; Segmentation v1.0 | Confidencial | 2026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2026-09-24T13:17:04Z</dcterms:created>
  <dcterms:modified xsi:type="dcterms:W3CDTF">2026-09-24T13:17:04Z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