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roduct-overview"/>
    <w:p>
      <w:pPr>
        <w:pStyle w:val="Heading1"/>
      </w:pPr>
      <w:r>
        <w:t xml:space="preserve">Product Overview</w:t>
      </w:r>
    </w:p>
    <w:p>
      <w:pPr>
        <w:pStyle w:val="FirstParagraph"/>
      </w:pPr>
      <w:r>
        <w:rPr>
          <w:bCs/>
          <w:b/>
        </w:rPr>
        <w:t xml:space="preserve">Status: ✅ grounded directly in the working codebase (</w:t>
      </w:r>
      <w:r>
        <w:rPr>
          <w:rStyle w:val="VerbatimChar"/>
          <w:bCs/>
          <w:b/>
        </w:rPr>
        <w:t xml:space="preserve">saas/</w:t>
      </w:r>
      <w:r>
        <w:rPr>
          <w:bCs/>
          <w:b/>
        </w:rPr>
        <w:t xml:space="preserve">) — this is</w:t>
      </w:r>
      <w:r>
        <w:rPr>
          <w:bCs/>
          <w:b/>
        </w:rPr>
        <w:t xml:space="preserve"> </w:t>
      </w:r>
      <w:r>
        <w:rPr>
          <w:bCs/>
          <w:b/>
        </w:rPr>
        <w:t xml:space="preserve">the one section of the data room backed by shipped code, not just plans.</w:t>
      </w:r>
    </w:p>
    <w:bookmarkStart w:id="20" w:name="what-exists-today"/>
    <w:p>
      <w:pPr>
        <w:pStyle w:val="Heading2"/>
      </w:pPr>
      <w:r>
        <w:t xml:space="preserve">What exists today</w:t>
      </w:r>
    </w:p>
    <w:p>
      <w:pPr>
        <w:pStyle w:val="FirstParagraph"/>
      </w:pPr>
      <w:r>
        <w:t xml:space="preserve">A Next.js 15 application (</w:t>
      </w:r>
      <w:r>
        <w:rPr>
          <w:rStyle w:val="VerbatimChar"/>
        </w:rPr>
        <w:t xml:space="preserve">saas/</w:t>
      </w:r>
      <w:r>
        <w:t xml:space="preserve">) implementing the onboarding and</w:t>
      </w:r>
      <w:r>
        <w:t xml:space="preserve"> </w:t>
      </w:r>
      <w:r>
        <w:t xml:space="preserve">scoring flow described in the checklist (</w:t>
      </w:r>
      <w:r>
        <w:t xml:space="preserve">“</w:t>
      </w:r>
      <w:r>
        <w:t xml:space="preserve">a CAR number goes in, NDVI</w:t>
      </w:r>
      <w:r>
        <w:t xml:space="preserve"> </w:t>
      </w:r>
      <w:r>
        <w:t xml:space="preserve">maps and credit evidence come out</w:t>
      </w:r>
      <w:r>
        <w:t xml:space="preserve">”</w:t>
      </w:r>
      <w:r>
        <w:t xml:space="preserve">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Land onboarding wizard</w:t>
      </w:r>
      <w:r>
        <w:t xml:space="preserve"> </w:t>
      </w:r>
      <w:r>
        <w:t xml:space="preserve">(</w:t>
      </w:r>
      <w:r>
        <w:rPr>
          <w:rStyle w:val="VerbatimChar"/>
        </w:rPr>
        <w:t xml:space="preserve">saas/src/app/dashboard/onboard/page.tsx</w:t>
      </w:r>
      <w:r>
        <w:t xml:space="preserve">)</w:t>
      </w:r>
      <w:r>
        <w:t xml:space="preserve"> </w:t>
      </w:r>
      <w:r>
        <w:t xml:space="preserve">— KML upload/parsing (</w:t>
      </w:r>
      <w:r>
        <w:rPr>
          <w:rStyle w:val="VerbatimChar"/>
        </w:rPr>
        <w:t xml:space="preserve">KmlUploader.tsx</w:t>
      </w:r>
      <w:r>
        <w:t xml:space="preserve">), a</w:t>
      </w:r>
      <w:r>
        <w:t xml:space="preserve"> </w:t>
      </w:r>
      <w:r>
        <w:t xml:space="preserve">“</w:t>
      </w:r>
      <w:r>
        <w:t xml:space="preserve">radar scanner</w:t>
      </w:r>
      <w:r>
        <w:t xml:space="preserve">”</w:t>
      </w:r>
      <w:r>
        <w:t xml:space="preserve"> </w:t>
      </w:r>
      <w:r>
        <w:t xml:space="preserve">enrichment</w:t>
      </w:r>
      <w:r>
        <w:t xml:space="preserve"> </w:t>
      </w:r>
      <w:r>
        <w:t xml:space="preserve">UX (</w:t>
      </w:r>
      <w:r>
        <w:rPr>
          <w:rStyle w:val="VerbatimChar"/>
        </w:rPr>
        <w:t xml:space="preserve">RadarScanner.tsx</w:t>
      </w:r>
      <w:r>
        <w:t xml:space="preserve">), and a resulting</w:t>
      </w:r>
      <w:r>
        <w:t xml:space="preserve"> </w:t>
      </w:r>
      <w:r>
        <w:rPr>
          <w:bCs/>
          <w:b/>
        </w:rPr>
        <w:t xml:space="preserve">ScoreCard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Enrichment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saas/src/app/api/land/enrich/route.ts</w:t>
      </w:r>
      <w:r>
        <w:t xml:space="preserve">) —</w:t>
      </w:r>
      <w:r>
        <w:t xml:space="preserve"> </w:t>
      </w:r>
      <w:r>
        <w:t xml:space="preserve">fuses multiple public/registry data sources against the submitted</w:t>
      </w:r>
      <w:r>
        <w:t xml:space="preserve"> </w:t>
      </w:r>
      <w:r>
        <w:t xml:space="preserve">property boundary:</w:t>
      </w:r>
      <w:r>
        <w:t xml:space="preserve"> </w:t>
      </w:r>
      <w:r>
        <w:rPr>
          <w:bCs/>
          <w:b/>
        </w:rPr>
        <w:t xml:space="preserve">SICAR</w:t>
      </w:r>
      <w:r>
        <w:t xml:space="preserve"> </w:t>
      </w:r>
      <w:r>
        <w:t xml:space="preserve">(Cadastro Ambiental Rural),</w:t>
      </w:r>
      <w:r>
        <w:t xml:space="preserve"> </w:t>
      </w:r>
      <w:r>
        <w:rPr>
          <w:bCs/>
          <w:b/>
        </w:rPr>
        <w:t xml:space="preserve">SIGEF/</w:t>
      </w:r>
      <w:r>
        <w:rPr>
          <w:bCs/>
          <w:b/>
        </w:rPr>
        <w:t xml:space="preserve"> </w:t>
      </w:r>
      <w:r>
        <w:rPr>
          <w:bCs/>
          <w:b/>
        </w:rPr>
        <w:t xml:space="preserve">INCRA</w:t>
      </w:r>
      <w:r>
        <w:t xml:space="preserve"> </w:t>
      </w:r>
      <w:r>
        <w:t xml:space="preserve">(certified land georeferencing), and</w:t>
      </w:r>
      <w:r>
        <w:t xml:space="preserve"> </w:t>
      </w:r>
      <w:r>
        <w:rPr>
          <w:bCs/>
          <w:b/>
        </w:rPr>
        <w:t xml:space="preserve">IBGE/CPRM</w:t>
      </w:r>
      <w:r>
        <w:t xml:space="preserve"> </w:t>
      </w:r>
      <w:r>
        <w:t xml:space="preserve">(biome/hydrology context). Returns an environmental-compliance and</w:t>
      </w:r>
      <w:r>
        <w:t xml:space="preserve"> </w:t>
      </w:r>
      <w:r>
        <w:t xml:space="preserve">ESG scorecard.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ScoreCard</w:t>
      </w:r>
      <w:r>
        <w:t xml:space="preserve"> </w:t>
      </w:r>
      <w:r>
        <w:t xml:space="preserve">(</w:t>
      </w:r>
      <w:r>
        <w:rPr>
          <w:rStyle w:val="VerbatimChar"/>
        </w:rPr>
        <w:t xml:space="preserve">saas/src/components/wizard/ScoreCard.tsx</w:t>
      </w:r>
      <w:r>
        <w:t xml:space="preserve">) — the</w:t>
      </w:r>
      <w:r>
        <w:t xml:space="preserve"> </w:t>
      </w:r>
      <w:r>
        <w:t xml:space="preserve">credit-passport output itself: an ESG score, a rural-credit risk</w:t>
      </w:r>
      <w:r>
        <w:t xml:space="preserve"> </w:t>
      </w:r>
      <w:r>
        <w:t xml:space="preserve">level, embargo status, and explicit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Elegível para Passaporte de</w:t>
      </w:r>
      <w:r>
        <w:rPr>
          <w:bCs/>
          <w:b/>
        </w:rPr>
        <w:t xml:space="preserve"> </w:t>
      </w:r>
      <w:r>
        <w:rPr>
          <w:bCs/>
          <w:b/>
        </w:rPr>
        <w:t xml:space="preserve">Crédito Rural AgrosTech</w:t>
      </w:r>
      <w:r>
        <w:rPr>
          <w:bCs/>
          <w:b/>
        </w:rPr>
        <w:t xml:space="preserve">”</w:t>
      </w:r>
      <w:r>
        <w:t xml:space="preserve"> </w:t>
      </w:r>
      <w:r>
        <w:t xml:space="preserve">eligibility flag. Conceptually, this is</w:t>
      </w:r>
      <w:r>
        <w:t xml:space="preserve"> </w:t>
      </w:r>
      <w:r>
        <w:t xml:space="preserve">where the three proprietary models named in the pitch deck plug in —</w:t>
      </w:r>
      <w:r>
        <w:t xml:space="preserve"> </w:t>
      </w:r>
      <w:r>
        <w:t xml:space="preserve">M1 (Filtro de Área Útil), M2 (Radar SAR Anti-Fuga), M3 (Protocolo</w:t>
      </w:r>
      <w:r>
        <w:t xml:space="preserve"> </w:t>
      </w:r>
      <w:r>
        <w:t xml:space="preserve">Halo) — see</w:t>
      </w:r>
      <w:r>
        <w:t xml:space="preserve"> </w:t>
      </w:r>
      <w:r>
        <w:rPr>
          <w:rStyle w:val="VerbatimChar"/>
        </w:rPr>
        <w:t xml:space="preserve">09-product/TECH_STACK_OVERVIEW.md</w:t>
      </w:r>
      <w:r>
        <w:t xml:space="preserve"> </w:t>
      </w:r>
      <w:r>
        <w:t xml:space="preserve">for what each does</w:t>
      </w:r>
      <w:r>
        <w:t xml:space="preserve"> </w:t>
      </w:r>
      <w:r>
        <w:t xml:space="preserve">and [CONFIRM] which are live in this code today.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2D/3D visualization</w:t>
      </w:r>
      <w:r>
        <w:t xml:space="preserve"> </w:t>
      </w:r>
      <w:r>
        <w:t xml:space="preserve">— MapLibre GL + Deck.gl for 2D (</w:t>
      </w:r>
      <w:r>
        <w:rPr>
          <w:rStyle w:val="VerbatimChar"/>
        </w:rPr>
        <w:t xml:space="preserve">MapView2D.tsx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MiniMap.tsx</w:t>
      </w:r>
      <w:r>
        <w:t xml:space="preserve">) and Cesium for a full 3D digital-twin terrain 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CesiumViewer.tsx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dashboard/land/[id]/3d/page.tsx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Multi-tenant data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saas/supabase/schema.sql</w:t>
      </w:r>
      <w:r>
        <w:t xml:space="preserve">) — PostGIS-</w:t>
      </w:r>
      <w:r>
        <w:t xml:space="preserve"> </w:t>
      </w:r>
      <w:r>
        <w:t xml:space="preserve">backed, with organizations (bank / agribusiness / investment fund /</w:t>
      </w:r>
      <w:r>
        <w:t xml:space="preserve"> </w:t>
      </w:r>
      <w:r>
        <w:t xml:space="preserve">cooperative / trader), role-scoped users (b2c / b2b_admin /</w:t>
      </w:r>
      <w:r>
        <w:t xml:space="preserve"> </w:t>
      </w:r>
      <w:r>
        <w:t xml:space="preserve">b2b_viewer), and a</w:t>
      </w:r>
      <w:r>
        <w:t xml:space="preserve"> </w:t>
      </w:r>
      <w:r>
        <w:rPr>
          <w:rStyle w:val="VerbatimChar"/>
        </w:rPr>
        <w:t xml:space="preserve">land_parcels</w:t>
      </w:r>
      <w:r>
        <w:t xml:space="preserve"> </w:t>
      </w:r>
      <w:r>
        <w:t xml:space="preserve">table carrying CAR code, geometry,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metrics_json</w:t>
      </w:r>
      <w:r>
        <w:t xml:space="preserve"> </w:t>
      </w:r>
      <w:r>
        <w:t xml:space="preserve">blob (total/APP/legal-reserve/consolidated area,</w:t>
      </w:r>
      <w:r>
        <w:t xml:space="preserve"> </w:t>
      </w:r>
      <w:r>
        <w:t xml:space="preserve">average slope).</w:t>
      </w:r>
    </w:p>
    <w:bookmarkEnd w:id="20"/>
    <w:bookmarkStart w:id="21" w:name="what-this-proves-to-an-investor"/>
    <w:p>
      <w:pPr>
        <w:pStyle w:val="Heading2"/>
      </w:pPr>
      <w:r>
        <w:t xml:space="preserve">What this proves to an investor</w:t>
      </w:r>
    </w:p>
    <w:p>
      <w:pPr>
        <w:pStyle w:val="FirstParagraph"/>
      </w:pPr>
      <w:r>
        <w:t xml:space="preserve">The Passaporte de Crédito Rural isn’t a slide — it’s a running</w:t>
      </w:r>
      <w:r>
        <w:t xml:space="preserve"> </w:t>
      </w:r>
      <w:r>
        <w:t xml:space="preserve">enrichment pipeline against real Brazilian land-registry data sources</w:t>
      </w:r>
      <w:r>
        <w:t xml:space="preserve"> </w:t>
      </w:r>
      <w:r>
        <w:t xml:space="preserve">(SICAR, SIGEF/INCRA), with a data model already designed for the B2B</w:t>
      </w:r>
      <w:r>
        <w:t xml:space="preserve"> </w:t>
      </w:r>
      <w:r>
        <w:t xml:space="preserve">buyer types who’d actually rely on it (banks, agribusiness, investment</w:t>
      </w:r>
      <w:r>
        <w:t xml:space="preserve"> </w:t>
      </w:r>
      <w:r>
        <w:t xml:space="preserve">funds, cooperatives, traders).</w:t>
      </w:r>
    </w:p>
    <w:bookmarkEnd w:id="21"/>
    <w:bookmarkStart w:id="22" w:name="X24632476d37f207d06e5436789bd6cc1984d3cb"/>
    <w:p>
      <w:pPr>
        <w:pStyle w:val="Heading2"/>
      </w:pPr>
      <w:r>
        <w:t xml:space="preserve">What’s not yet real (be direct about this in the room)</w:t>
      </w:r>
    </w:p>
    <w:p>
      <w:pPr>
        <w:numPr>
          <w:ilvl w:val="0"/>
          <w:numId w:val="1002"/>
        </w:numPr>
        <w:pStyle w:val="Compact"/>
      </w:pPr>
      <w:r>
        <w:t xml:space="preserve">The enrichment route currently</w:t>
      </w:r>
      <w:r>
        <w:t xml:space="preserve"> </w:t>
      </w:r>
      <w:r>
        <w:rPr>
          <w:bCs/>
          <w:b/>
        </w:rPr>
        <w:t xml:space="preserve">simulates</w:t>
      </w:r>
      <w:r>
        <w:t xml:space="preserve"> </w:t>
      </w:r>
      <w:r>
        <w:t xml:space="preserve">the concurrent data</w:t>
      </w:r>
      <w:r>
        <w:t xml:space="preserve"> </w:t>
      </w:r>
      <w:r>
        <w:t xml:space="preserve">fusion (fixed-latency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 </w:t>
      </w:r>
      <w:r>
        <w:t xml:space="preserve">calls standing in for live API/RPC</w:t>
      </w:r>
      <w:r>
        <w:t xml:space="preserve"> </w:t>
      </w:r>
      <w:r>
        <w:t xml:space="preserve">calls) — it’s a working demo architecture, not yet wired to live</w:t>
      </w:r>
      <w:r>
        <w:t xml:space="preserve"> </w:t>
      </w:r>
      <w:r>
        <w:t xml:space="preserve">SICAR/SIGEF endpoints in production. [CONFIRM current integration</w:t>
      </w:r>
      <w:r>
        <w:t xml:space="preserve"> </w:t>
      </w:r>
      <w:r>
        <w:t xml:space="preserve">status with the founder before stating this differently to investors.]</w:t>
      </w:r>
    </w:p>
    <w:p>
      <w:pPr>
        <w:numPr>
          <w:ilvl w:val="0"/>
          <w:numId w:val="1002"/>
        </w:numPr>
        <w:pStyle w:val="Compact"/>
      </w:pPr>
      <w:r>
        <w:t xml:space="preserve">Supabase auth/middleware and the schema exist; [CONFIRM] whether this</w:t>
      </w:r>
      <w:r>
        <w:t xml:space="preserve"> </w:t>
      </w:r>
      <w:r>
        <w:t xml:space="preserve">is deployed and in use by real customers yet, or still pre-launch.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Product Overview v1.0 | Confidencial | 2026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2026-09-24T13:17:04Z</dcterms:created>
  <dcterms:modified xsi:type="dcterms:W3CDTF">2026-09-24T13:17:04Z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