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grostech-data-room"/>
    <w:p>
      <w:pPr>
        <w:pStyle w:val="Heading1"/>
      </w:pPr>
      <w:r>
        <w:t xml:space="preserve">AgrosTech — Data Room</w:t>
      </w:r>
    </w:p>
    <w:p>
      <w:pPr>
        <w:pStyle w:val="FirstParagraph"/>
      </w:pPr>
      <w:r>
        <w:t xml:space="preserve">Built for early-stage VC conversations. Structure follows the checklist in</w:t>
      </w:r>
      <w:r>
        <w:t xml:space="preserve"> </w:t>
      </w:r>
      <w:r>
        <w:rPr>
          <w:rStyle w:val="VerbatimChar"/>
        </w:rPr>
        <w:t xml:space="preserve">AgrosTech data room</w:t>
      </w:r>
      <w:r>
        <w:t xml:space="preserve"> </w:t>
      </w:r>
      <w:r>
        <w:t xml:space="preserve">(Mariya Valeva’s data-room framework), grouped into</w:t>
      </w:r>
      <w:r>
        <w:t xml:space="preserve"> </w:t>
      </w:r>
      <w:r>
        <w:t xml:space="preserve">three parts plus the SAFE terms.</w:t>
      </w:r>
      <w:r>
        <w:t xml:space="preserve"> </w:t>
      </w:r>
      <w:r>
        <w:rPr>
          <w:bCs/>
          <w:b/>
        </w:rPr>
        <w:t xml:space="preserve">v2.0: reconciled against the</w:t>
      </w:r>
      <w:r>
        <w:rPr>
          <w:bCs/>
          <w:b/>
        </w:rPr>
        <w:t xml:space="preserve"> </w:t>
      </w:r>
      <w:r>
        <w:rPr>
          <w:bCs/>
          <w:b/>
        </w:rPr>
        <w:t xml:space="preserve">founder’s pitch deck</w:t>
      </w:r>
      <w:r>
        <w:t xml:space="preserve"> </w:t>
      </w:r>
      <w:r>
        <w:t xml:space="preserve">(</w:t>
      </w:r>
      <w:r>
        <w:rPr>
          <w:rStyle w:val="VerbatimChar"/>
        </w:rPr>
        <w:t xml:space="preserve">01-company-snapshot/AgrosTech_Pitch_Narrativo.pdf</w:t>
      </w:r>
      <w:r>
        <w:t xml:space="preserve">,</w:t>
      </w:r>
      <w:r>
        <w:t xml:space="preserve"> </w:t>
      </w:r>
      <w:r>
        <w:t xml:space="preserve">supplied 2026-09-24).</w:t>
      </w:r>
    </w:p>
    <w:p>
      <w:pPr>
        <w:pStyle w:val="BodyText"/>
      </w:pPr>
      <w:r>
        <w:rPr>
          <w:bCs/>
          <w:b/>
        </w:rPr>
        <w:t xml:space="preserve">Status legend used throughout:</w:t>
      </w:r>
      <w:r>
        <w:t xml:space="preserve"> </w:t>
      </w:r>
      <w:r>
        <w:t xml:space="preserve">🟡 drafted from known facts · 🔴 needs</w:t>
      </w:r>
      <w:r>
        <w:t xml:space="preserve"> </w:t>
      </w:r>
      <w:r>
        <w:t xml:space="preserve">founder input or legal review · ✅ ready to share as-is / confirmed by</w:t>
      </w:r>
      <w:r>
        <w:t xml:space="preserve"> </w:t>
      </w:r>
      <w:r>
        <w:t xml:space="preserve">the deck.</w:t>
      </w:r>
    </w:p>
    <w:bookmarkStart w:id="20" w:name="how-this-is-organized"/>
    <w:p>
      <w:pPr>
        <w:pStyle w:val="Heading2"/>
      </w:pPr>
      <w:r>
        <w:t xml:space="preserve">How this is organized</w:t>
      </w:r>
    </w:p>
    <w:p>
      <w:pPr>
        <w:pStyle w:val="SourceCode"/>
      </w:pPr>
      <w:r>
        <w:rPr>
          <w:rStyle w:val="VerbatimChar"/>
        </w:rPr>
        <w:t xml:space="preserve">data-room/</w:t>
      </w:r>
      <w:r>
        <w:br/>
      </w:r>
      <w:r>
        <w:rPr>
          <w:rStyle w:val="VerbatimChar"/>
        </w:rPr>
        <w:t xml:space="preserve">├── 01-company-snapshot/    One-pager, pitch deck (PDF + reconciliation map), case study, vision</w:t>
      </w:r>
      <w:r>
        <w:br/>
      </w:r>
      <w:r>
        <w:rPr>
          <w:rStyle w:val="VerbatimChar"/>
        </w:rPr>
        <w:t xml:space="preserve">├── 02-team/                Bios, vesting/ESOP, advisor note, org design, hiring plan</w:t>
      </w:r>
      <w:r>
        <w:br/>
      </w:r>
      <w:r>
        <w:rPr>
          <w:rStyle w:val="VerbatimChar"/>
        </w:rPr>
        <w:t xml:space="preserve">├── 03-company-documents/   Incorporation status, founders' agreement, board consents</w:t>
      </w:r>
      <w:r>
        <w:br/>
      </w:r>
      <w:r>
        <w:rPr>
          <w:rStyle w:val="VerbatimChar"/>
        </w:rPr>
        <w:t xml:space="preserve">├── 04-investment-documents/ Cap table, use of funds, SAFE, prior rounds, investor update template</w:t>
      </w:r>
      <w:r>
        <w:br/>
      </w:r>
      <w:r>
        <w:rPr>
          <w:rStyle w:val="VerbatimChar"/>
        </w:rPr>
        <w:t xml:space="preserve">├── 05-legal/                IP assignment, trademarks, LGPD, NDA, drone/agro compliance, insurance</w:t>
      </w:r>
      <w:r>
        <w:br/>
      </w:r>
      <w:r>
        <w:rPr>
          <w:rStyle w:val="VerbatimChar"/>
        </w:rPr>
        <w:t xml:space="preserve">├── 06-customers/            Contracts, pipeline, testimonials, market research, competitive landscape, KPIs</w:t>
      </w:r>
      <w:r>
        <w:br/>
      </w:r>
      <w:r>
        <w:rPr>
          <w:rStyle w:val="VerbatimChar"/>
        </w:rPr>
        <w:t xml:space="preserve">├── 07-financials/           Financial model, hypotheses, unit economics, tax/compliance</w:t>
      </w:r>
      <w:r>
        <w:br/>
      </w:r>
      <w:r>
        <w:rPr>
          <w:rStyle w:val="VerbatimChar"/>
        </w:rPr>
        <w:t xml:space="preserve">├── 08-gtm-revenue/          GTM strategy, pricing, ICP, sales playbook</w:t>
      </w:r>
      <w:r>
        <w:br/>
      </w:r>
      <w:r>
        <w:rPr>
          <w:rStyle w:val="VerbatimChar"/>
        </w:rPr>
        <w:t xml:space="preserve">├── 09-product/              Demo video brief, roadmap, tech stack, security</w:t>
      </w:r>
      <w:r>
        <w:br/>
      </w:r>
      <w:r>
        <w:rPr>
          <w:rStyle w:val="VerbatimChar"/>
        </w:rPr>
        <w:t xml:space="preserve">└── 10-press-brand/          Brand assets, press kit</w:t>
      </w:r>
    </w:p>
    <w:bookmarkEnd w:id="20"/>
    <w:bookmarkStart w:id="21" w:name="X0ad82ad016a93769bd2b704c269e10a92c920b6"/>
    <w:p>
      <w:pPr>
        <w:pStyle w:val="Heading2"/>
      </w:pPr>
      <w:r>
        <w:t xml:space="preserve">Core numbers (confirmed by the founder and the pitch deck, 2026-09-24)</w:t>
      </w:r>
    </w:p>
    <w:p>
      <w:pPr>
        <w:pStyle w:val="FirstParagraph"/>
      </w:pPr>
      <w:r>
        <w:rPr>
          <w:bCs/>
          <w:b/>
        </w:rPr>
        <w:t xml:space="preserve">USD is the primary currency</w:t>
      </w:r>
      <w:r>
        <w:t xml:space="preserve"> </w:t>
      </w:r>
      <w:r>
        <w:t xml:space="preserve">— the SAFE is a US-dollar instrument</w:t>
      </w:r>
      <w:r>
        <w:t xml:space="preserve"> </w:t>
      </w:r>
      <w:r>
        <w:t xml:space="preserve">and the deck itself is denominated in USD. R$ figures are shown at an</w:t>
      </w:r>
      <w:r>
        <w:t xml:space="preserve"> </w:t>
      </w:r>
      <w:r>
        <w:t xml:space="preserve">assumed ≈R$5.00/US$1 for context.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US$ 0.80/ha/year</w:t>
            </w:r>
            <w:r>
              <w:t xml:space="preserve"> </w:t>
            </w:r>
            <w:r>
              <w:t xml:space="preserve">(≈ R$ 4/ha/year) subscription (Passaporte de Crédito Rural) + one-off survey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/ pitch deck</w:t>
            </w:r>
            <w:r>
              <w:t xml:space="preserve"> </w:t>
            </w:r>
            <w:r>
              <w:t xml:space="preserve">“</w:t>
            </w:r>
            <w:r>
              <w:t xml:space="preserve">O Mercado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US$ 600,000</w:t>
            </w:r>
            <w:r>
              <w:t xml:space="preserve"> </w:t>
            </w:r>
            <w:r>
              <w:t xml:space="preserve">(≈ R$ 3,000,000) via YC post-money SAFE, no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O Pedido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US$ 4,000,000</w:t>
            </w:r>
            <w:r>
              <w:t xml:space="preserve"> </w:t>
            </w:r>
            <w:r>
              <w:t xml:space="preserve">(≈ R$ 20,000,000), = 15% post-money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O Pedido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years, 1-year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O Pedido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Delaware holding company owning a new Brazilian LTDA (100%)</w:t>
            </w:r>
            <w:r>
              <w:t xml:space="preserve"> </w:t>
            </w:r>
            <w:r>
              <w:t xml:space="preserve">— decided by the founder (2026-09-24),</w:t>
            </w:r>
            <w:r>
              <w:t xml:space="preserve"> </w:t>
            </w:r>
            <w:r>
              <w:rPr>
                <w:bCs/>
                <w:b/>
              </w:rPr>
              <w:t xml:space="preserve">neither entity formed yet</w:t>
            </w:r>
            <w:r>
              <w:t xml:space="preserve">. Not the founder’s existing personal CNPJ.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Founder, 2026-09-24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of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Dados e IA · 30% Vendas institucionais · 20% Operações e reserva · 10% Integrações Bacen e segurança — goal: 1.5M ha</w:t>
            </w:r>
            <w:r>
              <w:t xml:space="preserve"> </w:t>
            </w:r>
            <w:r>
              <w:t xml:space="preserve">“</w:t>
            </w:r>
            <w:r>
              <w:t xml:space="preserve">à vista</w:t>
            </w:r>
            <w:r>
              <w:t xml:space="preserve">”</w:t>
            </w:r>
            <w:r>
              <w:t xml:space="preserve"> </w:t>
            </w:r>
            <w:r>
              <w:t xml:space="preserve">by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O Pedido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Amgad Salih (CEO, interim CTO), Diana Dutra (CCO), Lucas Costa (CDO)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O Time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Believers/advisors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Chaim Finziola (Credix co-founder), Gilberto Damasceno (Shamal Aerospace CEO), Michelle Souza Vilela (CDT/UnB) —</w:t>
            </w:r>
            <w:r>
              <w:t xml:space="preserve"> </w:t>
            </w:r>
            <w:r>
              <w:rPr>
                <w:bCs/>
                <w:b/>
              </w:rPr>
              <w:t xml:space="preserve">equity terms out of scope</w:t>
            </w:r>
            <w:r>
              <w:t xml:space="preserve"> </w:t>
            </w:r>
            <w:r>
              <w:t xml:space="preserve">per founder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O Time</w:t>
            </w:r>
            <w:r>
              <w:t xml:space="preserve">”</w:t>
            </w:r>
            <w:r>
              <w:t xml:space="preserve"> </w:t>
            </w:r>
            <w:r>
              <w:t xml:space="preserve">slide; founder, 2026-09-24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paid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ha, Minas Gerais, CAR/SICAR georeferencing survey — generated retention and a scope renegotiation. Likely = the</w:t>
            </w:r>
            <w:r>
              <w:t xml:space="preserve"> </w:t>
            </w:r>
            <w:r>
              <w:t xml:space="preserve">“</w:t>
            </w:r>
            <w:r>
              <w:t xml:space="preserve">Fabio</w:t>
            </w:r>
            <w:r>
              <w:t xml:space="preserve">”</w:t>
            </w:r>
            <w:r>
              <w:t xml:space="preserve"> </w:t>
            </w:r>
            <w:r>
              <w:t xml:space="preserve">engagement referenced elsewhere in this room ([CONFIRM] the link).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 traction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~35,000 ha prospected combined: a cacao consultant (Thales, ~30,000 ha, Bahia, 200+ producers) + an unnamed global trading/barter manager; plus</w:t>
            </w:r>
            <w:r>
              <w:t xml:space="preserve"> </w:t>
            </w:r>
            <w:r>
              <w:rPr>
                <w:bCs/>
                <w:b/>
              </w:rPr>
              <w:t xml:space="preserve">Coplacana</w:t>
            </w:r>
            <w:r>
              <w:t xml:space="preserve"> </w:t>
            </w:r>
            <w:r>
              <w:t xml:space="preserve">(cooperative, named separately by the 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 pitch deck traction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US$880M total · US$125M addressable (MT, GO, MG, PR, RS) · US$3M 36-month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O Mercado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2027: $0.18M/$0.38M/$0.58M (pess/base/opt) · 2028: $0.66M/$1.32M/$2.00M · 2029: $1.60M/$3.50M/$4.56M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 scenarios slide — see</w:t>
            </w:r>
            <w:r>
              <w:t xml:space="preserve"> </w:t>
            </w:r>
            <w:r>
              <w:rPr>
                <w:rStyle w:val="VerbatimChar"/>
              </w:rPr>
              <w:t xml:space="preserve">FINANCIAL_MODEL.xlsx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Scenarios (Deck)</w:t>
            </w:r>
            <w:r>
              <w:t xml:space="preserve">”</w:t>
            </w:r>
            <w:r>
              <w:t xml:space="preserve"> </w:t>
            </w:r>
            <w: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BCB</w:t>
            </w:r>
            <w:r>
              <w:t xml:space="preserve"> </w:t>
            </w:r>
            <w:r>
              <w:rPr>
                <w:bCs/>
                <w:b/>
              </w:rPr>
              <w:t xml:space="preserve">Resolução CMN nº 5.267/2025</w:t>
            </w:r>
            <w:r>
              <w:t xml:space="preserve"> </w:t>
            </w:r>
            <w:r>
              <w:t xml:space="preserve">(effective March 2026) requires rural-credit compliance proven by remote sensing; liability is non-delegable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 slide 5, MCR 2-9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Proprietary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  <w:r>
              <w:t xml:space="preserve"> </w:t>
            </w:r>
            <w:r>
              <w:t xml:space="preserve">Filtro de Área Útil ·</w:t>
            </w:r>
            <w:r>
              <w:t xml:space="preserve"> </w:t>
            </w:r>
            <w:r>
              <w:rPr>
                <w:bCs/>
                <w:b/>
              </w:rPr>
              <w:t xml:space="preserve">M2</w:t>
            </w:r>
            <w:r>
              <w:t xml:space="preserve"> </w:t>
            </w:r>
            <w:r>
              <w:t xml:space="preserve">Radar SAR Anti-Fuga ·</w:t>
            </w:r>
            <w:r>
              <w:t xml:space="preserve"> </w:t>
            </w:r>
            <w:r>
              <w:rPr>
                <w:bCs/>
                <w:b/>
              </w:rPr>
              <w:t xml:space="preserve">M3</w:t>
            </w:r>
            <w:r>
              <w:t xml:space="preserve"> </w:t>
            </w:r>
            <w:r>
              <w:t xml:space="preserve">Protocolo Halo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Como Funciona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Agrotools, Serasa Experian Agro, TerraMagna, Traive, Terras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“</w:t>
            </w:r>
            <w:r>
              <w:t xml:space="preserve">Concorrência</w:t>
            </w:r>
            <w:r>
              <w:t xml:space="preserve">”</w:t>
            </w:r>
            <w:r>
              <w:t xml:space="preserve"> </w:t>
            </w:r>
            <w:r>
              <w:t xml:space="preserve">slide</w:t>
            </w:r>
          </w:p>
        </w:tc>
      </w:tr>
    </w:tbl>
    <w:p>
      <w:pPr>
        <w:pStyle w:val="BodyText"/>
      </w:pPr>
      <w:r>
        <w:t xml:space="preserve">These figures</w:t>
      </w:r>
      <w:r>
        <w:t xml:space="preserve"> </w:t>
      </w:r>
      <w:r>
        <w:rPr>
          <w:bCs/>
          <w:b/>
        </w:rPr>
        <w:t xml:space="preserve">replace</w:t>
      </w:r>
      <w:r>
        <w:t xml:space="preserve"> </w:t>
      </w:r>
      <w:r>
        <w:t xml:space="preserve">the older per-hectare drone-mission pricing</w:t>
      </w:r>
      <w:r>
        <w:t xml:space="preserve"> </w:t>
      </w:r>
      <w:r>
        <w:t xml:space="preserve">used elsewhere in this repo (</w:t>
      </w:r>
      <w:r>
        <w:rPr>
          <w:rStyle w:val="VerbatimChar"/>
        </w:rPr>
        <w:t xml:space="preserve">knowledge-base/PRICING_MODEL.md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UNIT_ECONOMICS.md</w:t>
      </w:r>
      <w:r>
        <w:t xml:space="preserve">) — that pricing belonged to a services-model version</w:t>
      </w:r>
      <w:r>
        <w:t xml:space="preserve"> </w:t>
      </w:r>
      <w:r>
        <w:t xml:space="preserve">of the business, per explicit founder instruction.</w:t>
      </w:r>
    </w:p>
    <w:bookmarkEnd w:id="21"/>
    <w:bookmarkStart w:id="22" w:name="open-items-blocking-full-completion"/>
    <w:p>
      <w:pPr>
        <w:pStyle w:val="Heading2"/>
      </w:pPr>
      <w:r>
        <w:t xml:space="preserve">Open items (blocking full completion)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 the two entities</w:t>
      </w:r>
      <w:r>
        <w:t xml:space="preserve"> </w:t>
      </w:r>
      <w:r>
        <w:t xml:space="preserve">— the Delaware holding and the new</w:t>
      </w:r>
      <w:r>
        <w:t xml:space="preserve"> </w:t>
      </w:r>
      <w:r>
        <w:t xml:space="preserve">Brazilian LTDA are decided but not yet formed; this blocks the SAFE’s</w:t>
      </w:r>
      <w:r>
        <w:t xml:space="preserve"> </w:t>
      </w:r>
      <w:r>
        <w:t xml:space="preserve">Issuer field. See</w:t>
      </w:r>
      <w:r>
        <w:t xml:space="preserve"> </w:t>
      </w:r>
      <w:r>
        <w:rPr>
          <w:rStyle w:val="VerbatimChar"/>
        </w:rPr>
        <w:t xml:space="preserve">03-company-documents/INCORPORATION_STATUS.md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Founder equity split and option-pool size</w:t>
      </w:r>
      <w:r>
        <w:t xml:space="preserve"> </w:t>
      </w:r>
      <w:r>
        <w:t xml:space="preserve">— still an illustrative</w:t>
      </w:r>
      <w:r>
        <w:t xml:space="preserve"> </w:t>
      </w:r>
      <w:r>
        <w:t xml:space="preserve">placeholder in</w:t>
      </w:r>
      <w:r>
        <w:t xml:space="preserve"> </w:t>
      </w:r>
      <w:r>
        <w:rPr>
          <w:rStyle w:val="VerbatimChar"/>
        </w:rPr>
        <w:t xml:space="preserve">04-investment-documents/CAP_TABLE.md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Fabio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220ha Minas Gerais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— very likely the</w:t>
      </w:r>
      <w:r>
        <w:t xml:space="preserve"> </w:t>
      </w:r>
      <w:r>
        <w:t xml:space="preserve">same project, not explicitly confirmed. See</w:t>
      </w:r>
      <w:r>
        <w:t xml:space="preserve"> </w:t>
      </w:r>
      <w:r>
        <w:rPr>
          <w:rStyle w:val="VerbatimChar"/>
        </w:rPr>
        <w:t xml:space="preserve">01-company-snapshot/CASE_STUDY.md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 the global trading/barter manager</w:t>
      </w:r>
      <w:r>
        <w:t xml:space="preserve"> </w:t>
      </w:r>
      <w:r>
        <w:t xml:space="preserve">in the pipeline — see</w:t>
      </w:r>
      <w:r>
        <w:t xml:space="preserve"> </w:t>
      </w:r>
      <w:r>
        <w:rPr>
          <w:rStyle w:val="VerbatimChar"/>
        </w:rPr>
        <w:t xml:space="preserve">06-customers/SALES_PIPELINE.md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Reconcile the deck’s own two slightly different 2029 revenue</w:t>
      </w:r>
      <w:r>
        <w:rPr>
          <w:bCs/>
          <w:b/>
        </w:rP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(US$3M 36-month target vs. US$3.50M 2029 Base case) — minor,</w:t>
      </w:r>
      <w:r>
        <w:t xml:space="preserve"> </w:t>
      </w:r>
      <w:r>
        <w:t xml:space="preserve">not a red flag, but worth a founder gut-check before the next pitch.</w:t>
      </w:r>
    </w:p>
    <w:p>
      <w:pPr>
        <w:numPr>
          <w:ilvl w:val="0"/>
          <w:numId w:val="1001"/>
        </w:numPr>
        <w:pStyle w:val="Compact"/>
      </w:pPr>
      <w:r>
        <w:t xml:space="preserve">Signed customer contracts, testimonials, exact pipeline R$/US$</w:t>
      </w:r>
      <w:r>
        <w:t xml:space="preserve"> </w:t>
      </w:r>
      <w:r>
        <w:t xml:space="preserve">values, and legal filings (trademarks, insurance, subcontractor</w:t>
      </w:r>
      <w:r>
        <w:t xml:space="preserve"> </w:t>
      </w:r>
      <w:r>
        <w:t xml:space="preserve">agreements) — placeholders pending founder/counsel input throughout.</w:t>
      </w:r>
    </w:p>
    <w:p>
      <w:pPr>
        <w:pStyle w:val="FirstParagraph"/>
      </w:pPr>
      <w:r>
        <w:rPr>
          <w:iCs/>
          <w:i/>
        </w:rPr>
        <w:t xml:space="preserve">Data room v2.0 | Reconciled against the founder’s pitch deck 2026-09-24 | Confidencial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2026-09-24T13:17:05Z</dcterms:created>
  <dcterms:modified xsi:type="dcterms:W3CDTF">2026-09-24T13:17:05Z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