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Drone &amp; Agro Compliance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regulatory framework is well-documented in this repo; [CONFIRM] items are AgrosTech's actual registration/license status.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Full regulatory reference: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knowledge-base/DRONE_REGULATIONS.md</w:t>
      </w:r>
      <w:r>
        <w:rPr>
          <w:rFonts w:ascii="Calibri" w:cs="Calibri" w:eastAsia="Calibri" w:hAnsi="Calibri"/>
        </w:rPr>
        <w:t xml:space="preserve"> (ANAC,
DECEA, SARPAS, IBAMA, LGPD, insurance, penalties) — that document is
accurate and current as of its last review and is the source for this
summary. Read it in full for diligence; this file is the investor-facing
summary.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Registrations &amp; licenses (fill in AgrosTech's actual status)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Item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ANAC pilot certification(s)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which pilots, which classes]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SISANT drone registration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which drones registered]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DECEA/SARPAS operating authorization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 responsible agronomist (for spraying/MAPA-regulated work, if applicable)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is a clean story for AgrosTech's current product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core subscription product (Passaporte de Crédito Rural) is built
from </w:t>
      </w:r>
      <w:r>
        <w:rPr>
          <w:rFonts w:ascii="Calibri" w:cs="Calibri" w:eastAsia="Calibri" w:hAnsi="Calibri"/>
          <w:b/>
          <w:bCs/>
        </w:rPr>
        <w:t xml:space="preserve">NDVI/satellite + boundary/topography data</w:t>
      </w:r>
      <w:r>
        <w:rPr>
          <w:rFonts w:ascii="Calibri" w:cs="Calibri" w:eastAsia="Calibri" w:hAnsi="Calibri"/>
        </w:rPr>
        <w:t xml:space="preserve">, not spraying — so the
most regulatorily intensive part of the drone-services business (MAPA
aerial-application rules) applies mainly to the one-off survey side, not
the core subscription. This is worth stating explicitly to investors:
the recurring-revenue product has a lighter regulatory footprint than
the services side.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Per-mission compliance checklist (from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DRONE_REGULATIONS.md</w:t>
      </w:r>
      <w:r>
        <w:rPr>
          <w:rFonts w:ascii="Calibri" w:cs="Calibri" w:eastAsia="Calibri" w:hAnsi="Calibri"/>
        </w:rPr>
        <w:t xml:space="preserve"> §7)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SARPAS authorization obtained and saved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NOTAM checked for area and date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Pilot with valid ANAC certification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Drone with active SISANT registration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Written landowner authorization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Valid RPAS liability insurance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Weather within limits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VLOS operation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Altitude ≤ 120m AGL (or special authorization)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☐ ≥ 30m distance from uninvolved people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Drone &amp; Agro Compliance v1.0 | Confidencial | 2026 | See </w:t>
      </w:r>
      <w:r>
        <w:rPr>
          <w:rFonts w:ascii="Consolas" w:cs="Consolas" w:eastAsia="Consolas" w:hAnsi="Consolas"/>
          <w:i/>
          <w:iCs/>
          <w:sz w:val="20"/>
          <w:szCs w:val="20"/>
          <w:shd w:fill="F2EFE6" w:val="clear"/>
        </w:rPr>
        <w:t xml:space="preserve">knowledge-base/DRONE_REGULATIONS.md</w:t>
      </w:r>
      <w:r>
        <w:rPr>
          <w:rFonts w:ascii="Calibri" w:cs="Calibri" w:eastAsia="Calibri" w:hAnsi="Calibri"/>
          <w:i/>
          <w:iCs/>
        </w:rPr>
        <w:t xml:space="preserve"> for full detail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Drone &amp; Agro Compliance</dc:title>
  <dc:creator>AgrosTech</dc:creator>
  <cp:lastModifiedBy>Un-named</cp:lastModifiedBy>
  <cp:revision>1</cp:revision>
  <dcterms:created xsi:type="dcterms:W3CDTF">2026-09-24T15:05:20.714Z</dcterms:created>
  <dcterms:modified xsi:type="dcterms:W3CDTF">2026-09-24T15:05:20.715Z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