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Subcontractor Agreements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🔴 [CONFIRM] with founder — which pilots/vendors are currently under contract.</w:t>
      </w:r>
    </w:p>
    <w:tbl>
      <w:tblPr>
        <w:tblW w:type="dxa" w:w="10080"/>
        <w:tblBorders>
          <w:top w:val="single" w:color="D9D3C3" w:sz="4"/>
          <w:left w:val="single" w:color="D9D3C3" w:sz="4"/>
          <w:bottom w:val="single" w:color="D9D3C3" w:sz="4"/>
          <w:right w:val="single" w:color="D9D3C3" w:sz="4"/>
          <w:insideH w:val="single" w:color="D9D3C3" w:sz="2"/>
          <w:insideV w:val="single" w:color="D9D3C3" w:sz="2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Subcontractor type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Under written contract?</w:t>
            </w:r>
          </w:p>
        </w:tc>
        <w:tc>
          <w:tcPr>
            <w:tcW w:type="dxa" w:w="3360"/>
            <w:shd w:fill="1C2A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FE6"/>
              </w:rPr>
              <w:t xml:space="preserve">Liability split defined?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Freelance drone pilots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[CONFIRM]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[CONFIRM]</w:t>
            </w:r>
          </w:p>
        </w:tc>
      </w:tr>
      <w:tr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Image-processing vendors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[CONFIRM]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[CONFIRM]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Why this matters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Any pilot or vendor who touched client data needs an IP assignment (see
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IP_ASSIGNMENT.md</w:t>
      </w:r>
      <w:r>
        <w:rPr>
          <w:rFonts w:ascii="Calibri" w:cs="Calibri" w:eastAsia="Calibri" w:hAnsi="Calibri"/>
        </w:rPr>
        <w:t xml:space="preserve">) and a clear liability split — especially relevant
given RPAS liability insurance (see </w:t>
      </w:r>
      <w:r>
        <w:rPr>
          <w:rFonts w:ascii="Consolas" w:cs="Consolas" w:eastAsia="Consolas" w:hAnsi="Consolas"/>
          <w:sz w:val="20"/>
          <w:szCs w:val="20"/>
          <w:shd w:fill="F2EFE6" w:val="clear"/>
        </w:rPr>
        <w:t xml:space="preserve">INSURANCE.md</w:t>
      </w:r>
      <w:r>
        <w:rPr>
          <w:rFonts w:ascii="Calibri" w:cs="Calibri" w:eastAsia="Calibri" w:hAnsi="Calibri"/>
        </w:rPr>
        <w:t xml:space="preserve">) typically covers the
operator, not an uninsured subcontractor.</w:t>
      </w:r>
    </w:p>
    <w:p>
      <w:pPr>
        <w:pBdr>
          <w:bottom w:val="single" w:color="D9D3C3" w:sz="6" w:space="4"/>
        </w:pBd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AgrosTech — Subcontractor Agreements v1.0 | Confidencial | 2026 | Not legal advice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A72C" w:sz="8" w:space="4"/>
      </w:pBdr>
      <w:spacing w:after="160" w:before="0"/>
    </w:pPr>
    <w:rPr>
      <w:rFonts w:ascii="Calibri" w:cs="Calibri" w:eastAsia="Calibri" w:hAnsi="Calibri"/>
      <w:b/>
      <w:bCs/>
      <w:color w:val="1C2A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C2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A6A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5A6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Agreements</dc:title>
  <dc:creator>AgrosTech</dc:creator>
  <cp:lastModifiedBy>Un-named</cp:lastModifiedBy>
  <cp:revision>1</cp:revision>
  <dcterms:created xsi:type="dcterms:W3CDTF">2026-09-24T15:05:21.548Z</dcterms:created>
  <dcterms:modified xsi:type="dcterms:W3CDTF">2026-09-24T15:05:21.548Z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