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Trademarks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🔴 [CONFIRM] filing status with founder.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5040"/>
        <w:gridCol w:w="5040"/>
      </w:tblGrid>
      <w:tr>
        <w:trPr>
          <w:tblHeader/>
        </w:trPr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Item</w:t>
            </w:r>
          </w:p>
        </w:tc>
        <w:tc>
          <w:tcPr>
            <w:tcW w:type="dxa" w:w="504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Status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"AgrosTech" filing at INPI (Brazil)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filed? pending? not yet started?]</w:t>
            </w:r>
          </w:p>
        </w:tc>
      </w:tr>
      <w:tr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US name clearance</w:t>
            </w:r>
          </w:p>
        </w:tc>
        <w:tc>
          <w:tcPr>
            <w:tcW w:type="dxa" w:w="504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 — needed only if the Delaware-flip path in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03-company-documents/INCORPORATION_STATUS.md</w:t>
            </w:r>
            <w:r>
              <w:rPr>
                <w:rFonts w:ascii="Calibri" w:cs="Calibri" w:eastAsia="Calibri" w:hAnsi="Calibri"/>
              </w:rPr>
              <w:t xml:space="preserve"> is taken; check availability for the holding entity's name]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Why this matters now</w:t>
      </w:r>
    </w:p>
    <w:p>
      <w:pPr>
        <w:spacing w:after="120"/>
      </w:pPr>
      <w:r>
        <w:rPr>
          <w:rFonts w:ascii="Calibri" w:cs="Calibri" w:eastAsia="Calibri" w:hAnsi="Calibri"/>
        </w:rPr>
        <w:t xml:space="preserve">Trademark gaps are a common, easily-fixed diligence flag. Given the
entity structure is also unresolved (</w:t>
      </w:r>
      <w:r>
        <w:rPr>
          <w:rFonts w:ascii="Consolas" w:cs="Consolas" w:eastAsia="Consolas" w:hAnsi="Consolas"/>
          <w:sz w:val="20"/>
          <w:szCs w:val="20"/>
          <w:shd w:fill="F2EFE6" w:val="clear"/>
        </w:rPr>
        <w:t xml:space="preserve">INCORPORATION_STATUS.md</w:t>
      </w:r>
      <w:r>
        <w:rPr>
          <w:rFonts w:ascii="Calibri" w:cs="Calibri" w:eastAsia="Calibri" w:hAnsi="Calibri"/>
        </w:rPr>
        <w:t xml:space="preserve">), it's
worth sequencing: confirm the final legal entity name first, then file.</w:t>
      </w: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Trademarks v1.0 | Confidencial | 2026 | Not legal advice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Trademarks</dc:title>
  <dc:creator>AgrosTech</dc:creator>
  <cp:lastModifiedBy>Un-named</cp:lastModifiedBy>
  <cp:revision>1</cp:revision>
  <dcterms:created xsi:type="dcterms:W3CDTF">2026-09-24T15:05:21.712Z</dcterms:created>
  <dcterms:modified xsi:type="dcterms:W3CDTF">2026-09-24T15:05:21.712Z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