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ICP &amp; Segmentation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🟡 grounded in actual pipeline composition; broader segmentation is [CONFIRM].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Who buys, who pays, who uses the report — by channel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Segment</w:t>
            </w:r>
          </w:p>
        </w:tc>
        <w:tc>
          <w:tcPr>
            <w:tcW w:type="dxa" w:w="2016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Example</w:t>
            </w:r>
          </w:p>
        </w:tc>
        <w:tc>
          <w:tcPr>
            <w:tcW w:type="dxa" w:w="2016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Who decides</w:t>
            </w:r>
          </w:p>
        </w:tc>
        <w:tc>
          <w:tcPr>
            <w:tcW w:type="dxa" w:w="2016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Who pays</w:t>
            </w:r>
          </w:p>
        </w:tc>
        <w:tc>
          <w:tcPr>
            <w:tcW w:type="dxa" w:w="2016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Who uses the output</w:t>
            </w:r>
          </w:p>
        </w:tc>
      </w:tr>
      <w:tr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Independent agronomic consultant with large managed footprint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Thales</w:t>
            </w:r>
            <w:r>
              <w:rPr>
                <w:rFonts w:ascii="Calibri" w:cs="Calibri" w:eastAsia="Calibri" w:hAnsi="Calibri"/>
              </w:rPr>
              <w:t xml:space="preserve"> — ~30,000 ha cacao, Bahia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The consultant (for the relationship), but ultimate hectares belong to individual landowners — [CONFIRM the actual decision/payment structure: does Thales buy on behalf of clients, or refer them?]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Thales + underlying landowners</w:t>
            </w:r>
          </w:p>
        </w:tc>
      </w:tr>
      <w:tr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Cooperative / association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Coplacana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Cooperative leadership/technical staff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cooperative budget vs. pass-through to members]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Member producers</w:t>
            </w:r>
          </w:p>
        </w:tc>
      </w:tr>
      <w:tr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Direct mid-size producer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Fabio (CAR/SICAR survey)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Property owner directly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Property owner directly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Property owner + anyone relying on the registry data (bank, certifier)</w:t>
            </w:r>
          </w:p>
        </w:tc>
      </w:tr>
      <w:tr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Financial institution / credit desk (future channel)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Not yet active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Credit officer / risk team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The institution, or pass-through to the borrower</w:t>
            </w:r>
          </w:p>
        </w:tc>
        <w:tc>
          <w:tcPr>
            <w:tcW w:type="dxa" w:w="2016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Credit officer, borrower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Primary ICP (near-term)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Consultants and cooperatives with existing multi-thousand-hectare
relationships in crops/regions where credit or carbon-market access is a
live concern — this is where the confirmed pipeline (Thales, Coplacana)
already sits, and it's a structurally more efficient motion than
farm-by-farm direct sales (see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GTM_STRATEGY.md</w:t>
      </w:r>
      <w:r>
        <w:rPr>
          <w:rFonts w:ascii="Calibri" w:cs="Calibri" w:eastAsia="Calibri" w:hAnsi="Calibri"/>
        </w:rPr>
        <w:t xml:space="preserve">).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ICP &amp; Segmentation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ICP &amp; Segmentation</dc:title>
  <dc:creator>AgrosTech</dc:creator>
  <cp:lastModifiedBy>Un-named</cp:lastModifiedBy>
  <cp:revision>1</cp:revision>
  <dcterms:created xsi:type="dcterms:W3CDTF">2026-09-24T15:05:23.475Z</dcterms:created>
  <dcterms:modified xsi:type="dcterms:W3CDTF">2026-09-24T15:05:23.475Z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