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Calibri" w:cs="Calibri" w:eastAsia="Calibri" w:hAnsi="Calibri"/>
        </w:rPr>
        <w:t xml:space="preserve">Pricing Model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Status: ✅ core price confirmed both by the founder and by the deck's
"O Mercado" slide; survey-services pricing is still [CONFIRM].</w:t>
      </w:r>
    </w:p>
    <w:p>
      <w:pPr>
        <w:pBdr>
          <w:left w:val="single" w:color="E5A72C" w:sz="12" w:space="8"/>
        </w:pBdr>
        <w:spacing w:after="80"/>
        <w:ind w:left="360"/>
      </w:pPr>
      <w:r>
        <w:rPr>
          <w:rFonts w:ascii="Calibri" w:cs="Calibri" w:eastAsia="Calibri" w:hAnsi="Calibri"/>
        </w:rPr>
        <w:t xml:space="preserve">This supersedes </w:t>
      </w:r>
      <w:r>
        <w:rPr>
          <w:rFonts w:ascii="Consolas" w:cs="Consolas" w:eastAsia="Consolas" w:hAnsi="Consolas"/>
          <w:sz w:val="20"/>
          <w:szCs w:val="20"/>
          <w:shd w:fill="F2EFE6" w:val="clear"/>
        </w:rPr>
        <w:t xml:space="preserve">knowledge-base/PRICING_MODEL.md</w:t>
      </w:r>
      <w:r>
        <w:rPr>
          <w:rFonts w:ascii="Calibri" w:cs="Calibri" w:eastAsia="Calibri" w:hAnsi="Calibri"/>
        </w:rPr>
        <w:t xml:space="preserve"> for fundraising
purposes. That file prices full drone missions per hectare (R$16–120/ha
depending on service and area) under a services-only business model.
This data room uses the current subscription model instead, per the
founder's explicit instruction (2026-09-24).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Core pricing</w:t>
      </w:r>
    </w:p>
    <w:tbl>
      <w:tblPr>
        <w:tblW w:type="dxa" w:w="10080"/>
        <w:tblBorders>
          <w:top w:val="single" w:color="D9D3C3" w:sz="4"/>
          <w:left w:val="single" w:color="D9D3C3" w:sz="4"/>
          <w:bottom w:val="single" w:color="D9D3C3" w:sz="4"/>
          <w:right w:val="single" w:color="D9D3C3" w:sz="4"/>
          <w:insideH w:val="single" w:color="D9D3C3" w:sz="2"/>
          <w:insideV w:val="single" w:color="D9D3C3" w:sz="2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C2A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EFE6"/>
              </w:rPr>
              <w:t xml:space="preserve">Product</w:t>
            </w:r>
          </w:p>
        </w:tc>
        <w:tc>
          <w:tcPr>
            <w:tcW w:type="dxa" w:w="3360"/>
            <w:shd w:fill="1C2A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EFE6"/>
              </w:rPr>
              <w:t xml:space="preserve">Price</w:t>
            </w:r>
          </w:p>
        </w:tc>
        <w:tc>
          <w:tcPr>
            <w:tcW w:type="dxa" w:w="3360"/>
            <w:shd w:fill="1C2A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EFE6"/>
              </w:rPr>
              <w:t xml:space="preserve">Status</w:t>
            </w:r>
          </w:p>
        </w:tc>
      </w:tr>
      <w:tr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Subscription — Passaporte de Crédito Rural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US$ 0.80/ha/year</w:t>
            </w:r>
            <w:r>
              <w:rPr>
                <w:rFonts w:ascii="Calibri" w:cs="Calibri" w:eastAsia="Calibri" w:hAnsi="Calibri"/>
              </w:rPr>
              <w:t xml:space="preserve"> (≈ R$ 4/ha/year)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✅ confirmed — USD is the deck's primary currency; R$ shown at ≈R$5.00/US$1</w:t>
            </w:r>
          </w:p>
        </w:tc>
      </w:tr>
      <w:tr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One-off survey services (georeferencing, weed/pest scans, MRV baseline, etc.)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[CONFIRM — per-survey or per-ha pricing for the current model]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🔴 placeholder used in the financial model: R$15,000/survey average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Why a flat R$/ha/year subscription, not tiered per-hectare bands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prior services model (</w:t>
      </w:r>
      <w:r>
        <w:rPr>
          <w:rFonts w:ascii="Consolas" w:cs="Consolas" w:eastAsia="Consolas" w:hAnsi="Consolas"/>
          <w:sz w:val="20"/>
          <w:szCs w:val="20"/>
          <w:shd w:fill="F2EFE6" w:val="clear"/>
        </w:rPr>
        <w:t xml:space="preserve">knowledge-base/PRICING_MODEL.md</w:t>
      </w:r>
      <w:r>
        <w:rPr>
          <w:rFonts w:ascii="Calibri" w:cs="Calibri" w:eastAsia="Calibri" w:hAnsi="Calibri"/>
        </w:rPr>
        <w:t xml:space="preserve">) used
declining per-hectare bands by area size (smaller properties pay more
per ha) because each mission had a real marginal cost (pilot time,
fuel, logistics) that didn't scale down cleanly. A </w:t>
      </w:r>
      <w:r>
        <w:rPr>
          <w:rFonts w:ascii="Calibri" w:cs="Calibri" w:eastAsia="Calibri" w:hAnsi="Calibri"/>
          <w:b/>
          <w:bCs/>
        </w:rPr>
        <w:t xml:space="preserve">subscription</w:t>
      </w:r>
      <w:r>
        <w:rPr>
          <w:rFonts w:ascii="Calibri" w:cs="Calibri" w:eastAsia="Calibri" w:hAnsi="Calibri"/>
        </w:rPr>
        <w:t xml:space="preserve">
model changes that economics: once a property is in the system, the
marginal cost of continuing to serve it is mostly data/compute, not a
repeated physical mission — which is why a flat rate is viable and why
gross margins on the subscription (80% assumed, see
</w:t>
      </w:r>
      <w:r>
        <w:rPr>
          <w:rFonts w:ascii="Consolas" w:cs="Consolas" w:eastAsia="Consolas" w:hAnsi="Consolas"/>
          <w:sz w:val="20"/>
          <w:szCs w:val="20"/>
          <w:shd w:fill="F2EFE6" w:val="clear"/>
        </w:rPr>
        <w:t xml:space="preserve">07-financials/UNIT_ECONOMICS.md</w:t>
      </w:r>
      <w:r>
        <w:rPr>
          <w:rFonts w:ascii="Calibri" w:cs="Calibri" w:eastAsia="Calibri" w:hAnsi="Calibri"/>
        </w:rPr>
        <w:t xml:space="preserve">) are structurally higher than the
survey-services side.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Discount policy</w:t>
      </w:r>
    </w:p>
    <w:p>
      <w:pPr>
        <w:spacing w:after="120"/>
      </w:pPr>
      <w:r>
        <w:rPr>
          <w:rFonts w:ascii="Calibri" w:cs="Calibri" w:eastAsia="Calibri" w:hAnsi="Calibri"/>
        </w:rPr>
        <w:t xml:space="preserve">[CONFIRM — the old policy in </w:t>
      </w:r>
      <w:r>
        <w:rPr>
          <w:rFonts w:ascii="Consolas" w:cs="Consolas" w:eastAsia="Consolas" w:hAnsi="Consolas"/>
          <w:sz w:val="20"/>
          <w:szCs w:val="20"/>
          <w:shd w:fill="F2EFE6" w:val="clear"/>
        </w:rPr>
        <w:t xml:space="preserve">knowledge-base/PRICING_MODEL.md</w:t>
      </w:r>
      <w:r>
        <w:rPr>
          <w:rFonts w:ascii="Calibri" w:cs="Calibri" w:eastAsia="Calibri" w:hAnsi="Calibri"/>
        </w:rPr>
        <w:t xml:space="preserve"> §4
(approval tiers by discount size) may still apply structurally, but
should be re-confirmed against the new pricing rather than assumed.]</w:t>
      </w:r>
    </w:p>
    <w:p>
      <w:pPr>
        <w:pBdr>
          <w:bottom w:val="single" w:color="D9D3C3" w:sz="6" w:space="4"/>
        </w:pBdr>
        <w:spacing w:after="120" w:before="120"/>
      </w:pP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AgrosTech — Pricing Model v1.0 | Confidencial |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A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5A72C" w:sz="8" w:space="4"/>
      </w:pBdr>
      <w:spacing w:after="160" w:before="0"/>
    </w:pPr>
    <w:rPr>
      <w:rFonts w:ascii="Calibri" w:cs="Calibri" w:eastAsia="Calibri" w:hAnsi="Calibri"/>
      <w:b/>
      <w:bCs/>
      <w:color w:val="1C2A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C2A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5A6A5E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i/>
      <w:iCs/>
      <w:color w:val="5A6A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Pricing Model</dc:title>
  <dc:creator>AgrosTech</dc:creator>
  <cp:lastModifiedBy>Un-named</cp:lastModifiedBy>
  <cp:revision>1</cp:revision>
  <dcterms:created xsi:type="dcterms:W3CDTF">2026-09-24T15:05:23.621Z</dcterms:created>
  <dcterms:modified xsi:type="dcterms:W3CDTF">2026-09-24T15:05:23.621Z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