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Security Overview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[CONFIRM] — this is "can wait" per the checklist, but worth having a straight answer ready if asked.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Question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Answer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Where is client data stored?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Supabase (Postgres + PostGIS) — [CONFIRM hosting region; matters for LGPD]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Who has access?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access control is modeled in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saas/supabase/schema.sql</w:t>
            </w:r>
            <w:r>
              <w:rPr>
                <w:rFonts w:ascii="Calibri" w:cs="Calibri" w:eastAsia="Calibri" w:hAnsi="Calibri"/>
              </w:rPr>
              <w:t xml:space="preserve"> via role-scoped users (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b2c</w:t>
            </w:r>
            <w:r>
              <w:rPr>
                <w:rFonts w:ascii="Calibri" w:cs="Calibri" w:eastAsia="Calibri" w:hAnsi="Calibri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b2b_admin</w:t>
            </w:r>
            <w:r>
              <w:rPr>
                <w:rFonts w:ascii="Calibri" w:cs="Calibri" w:eastAsia="Calibri" w:hAnsi="Calibri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b2b_viewer</w:t>
            </w:r>
            <w:r>
              <w:rPr>
                <w:rFonts w:ascii="Calibri" w:cs="Calibri" w:eastAsia="Calibri" w:hAnsi="Calibri"/>
              </w:rPr>
              <w:t xml:space="preserve">) and org-level Row-Level Security policies, but confirm actual production access practices]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Backups?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Encryption at rest / in transit?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Supabase provides this by default; confirm no custom exceptions]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Cross-reference: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05-legal/LGPD_AND_DATA_POLICIES.md</w:t>
      </w:r>
      <w:r>
        <w:rPr>
          <w:rFonts w:ascii="Calibri" w:cs="Calibri" w:eastAsia="Calibri" w:hAnsi="Calibri"/>
        </w:rPr>
        <w:t xml:space="preserve"> for the legal
(rather than technical) side of data handling.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Security Overview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Overview</dc:title>
  <dc:creator>AgrosTech</dc:creator>
  <cp:lastModifiedBy>Un-named</cp:lastModifiedBy>
  <cp:revision>1</cp:revision>
  <dcterms:created xsi:type="dcterms:W3CDTF">2026-09-24T15:05:24.416Z</dcterms:created>
  <dcterms:modified xsi:type="dcterms:W3CDTF">2026-09-24T15:05:24.416Z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