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96b98fa0764b36c799e81b341f5a3ec7e3a772f"/>
    <w:p>
      <w:pPr>
        <w:pStyle w:val="Heading1"/>
      </w:pPr>
      <w:r>
        <w:t xml:space="preserve">Case Study — First Paid Project (220 ha, Minas Gerais)</w:t>
      </w:r>
    </w:p>
    <w:p>
      <w:pPr>
        <w:pStyle w:val="FirstParagraph"/>
      </w:pPr>
      <w:r>
        <w:rPr>
          <w:bCs/>
          <w:b/>
        </w:rPr>
        <w:t xml:space="preserve">Status: 🟡 core facts confirmed by the pitch deck’s traction slide; the</w:t>
      </w:r>
      <w:r>
        <w:rPr>
          <w:bCs/>
          <w:b/>
        </w:rPr>
        <w:t xml:space="preserve"> </w:t>
      </w:r>
      <w:r>
        <w:rPr>
          <w:bCs/>
          <w:b/>
        </w:rPr>
        <w:t xml:space="preserve">link to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Fabio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CAR/SICAR engagement is a reasonable inference —</w:t>
      </w:r>
      <w:r>
        <w:rPr>
          <w:bCs/>
          <w:b/>
        </w:rPr>
        <w:t xml:space="preserve"> </w:t>
      </w:r>
      <w:r>
        <w:rPr>
          <w:bCs/>
          <w:b/>
        </w:rPr>
        <w:t xml:space="preserve">[CONFIRM] with the founder before stating it as fact externally.</w:t>
      </w:r>
    </w:p>
    <w:bookmarkStart w:id="20" w:name="what-the-deck-confirms-traction-slide"/>
    <w:p>
      <w:pPr>
        <w:pStyle w:val="Heading2"/>
      </w:pPr>
      <w:r>
        <w:t xml:space="preserve">What the deck confirms (traction slide)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220 ha</w:t>
      </w:r>
      <w:r>
        <w:t xml:space="preserve">,</w:t>
      </w:r>
      <w:r>
        <w:t xml:space="preserve"> </w:t>
      </w:r>
      <w:r>
        <w:rPr>
          <w:bCs/>
          <w:b/>
        </w:rPr>
        <w:t xml:space="preserve">Minas Gerais</w:t>
      </w:r>
      <w:r>
        <w:t xml:space="preserve">, described as AgrosTech’s</w:t>
      </w:r>
      <w:r>
        <w:t xml:space="preserve"> </w:t>
      </w:r>
      <w:r>
        <w:t xml:space="preserve">“</w:t>
      </w:r>
      <w:r>
        <w:t xml:space="preserve">primeiro</w:t>
      </w:r>
      <w:r>
        <w:t xml:space="preserve"> </w:t>
      </w:r>
      <w:r>
        <w:t xml:space="preserve">projeto pago</w:t>
      </w:r>
      <w:r>
        <w:t xml:space="preserve">”</w:t>
      </w:r>
      <w:r>
        <w:t xml:space="preserve"> </w:t>
      </w:r>
      <w:r>
        <w:t xml:space="preserve">(first paid project).</w:t>
      </w:r>
    </w:p>
    <w:p>
      <w:pPr>
        <w:numPr>
          <w:ilvl w:val="0"/>
          <w:numId w:val="1001"/>
        </w:numPr>
        <w:pStyle w:val="Compact"/>
      </w:pPr>
      <w:r>
        <w:t xml:space="preserve">Outcome:</w:t>
      </w:r>
      <w:r>
        <w:t xml:space="preserve"> </w:t>
      </w:r>
      <w:r>
        <w:rPr>
          <w:bCs/>
          <w:b/>
        </w:rPr>
        <w:t xml:space="preserve">generated retention and a scope renegotiation</w:t>
      </w:r>
      <w:r>
        <w:t xml:space="preserve"> </w:t>
      </w:r>
      <w:r>
        <w:t xml:space="preserve">— i.e., the</w:t>
      </w:r>
      <w:r>
        <w:t xml:space="preserve"> </w:t>
      </w:r>
      <w:r>
        <w:t xml:space="preserve">client didn’t just pay and leave; the relationship expanded.</w:t>
      </w:r>
    </w:p>
    <w:bookmarkEnd w:id="20"/>
    <w:bookmarkStart w:id="21" w:name="X94f1e729b6d510a1a8c394405b9cdb660caaec6"/>
    <w:p>
      <w:pPr>
        <w:pStyle w:val="Heading2"/>
      </w:pPr>
      <w:r>
        <w:t xml:space="preserve">Reconciling with the earlier-recorded</w:t>
      </w:r>
      <w:r>
        <w:t xml:space="preserve"> </w:t>
      </w:r>
      <w:r>
        <w:t xml:space="preserve">“</w:t>
      </w:r>
      <w:r>
        <w:t xml:space="preserve">Fabio</w:t>
      </w:r>
      <w:r>
        <w:t xml:space="preserve">”</w:t>
      </w:r>
      <w:r>
        <w:t xml:space="preserve"> </w:t>
      </w:r>
      <w:r>
        <w:t xml:space="preserve">engagement</w:t>
      </w:r>
    </w:p>
    <w:p>
      <w:pPr>
        <w:pStyle w:val="FirstParagraph"/>
      </w:pPr>
      <w:r>
        <w:t xml:space="preserve">Earlier in this data room, the founder described a delivered-and-paid</w:t>
      </w:r>
      <w:r>
        <w:t xml:space="preserve"> </w:t>
      </w:r>
      <w:r>
        <w:t xml:space="preserve">CAR/SICAR georeferencing survey for a client named</w:t>
      </w:r>
      <w:r>
        <w:t xml:space="preserve"> </w:t>
      </w:r>
      <w:r>
        <w:t xml:space="preserve">“</w:t>
      </w:r>
      <w:r>
        <w:t xml:space="preserve">Fabio,</w:t>
      </w:r>
      <w:r>
        <w:t xml:space="preserve">”</w:t>
      </w:r>
      <w:r>
        <w:t xml:space="preserve"> </w:t>
      </w:r>
      <w:r>
        <w:t xml:space="preserve">explicitly</w:t>
      </w:r>
      <w:r>
        <w:t xml:space="preserve"> </w:t>
      </w:r>
      <w:r>
        <w:t xml:space="preserve">correcting an earlier record that had mislabeled it as a cacao project.</w:t>
      </w:r>
      <w:r>
        <w:t xml:space="preserve"> </w:t>
      </w:r>
      <w:r>
        <w:t xml:space="preserve">Given</w:t>
      </w:r>
      <w:r>
        <w:t xml:space="preserve"> </w:t>
      </w:r>
      <w:r>
        <w:t xml:space="preserve">“</w:t>
      </w:r>
      <w:r>
        <w:t xml:space="preserve">first paid project</w:t>
      </w:r>
      <w:r>
        <w:t xml:space="preserve">”</w:t>
      </w:r>
      <w:r>
        <w:t xml:space="preserve"> </w:t>
      </w:r>
      <w:r>
        <w:t xml:space="preserve">is a specific, singular claim,</w:t>
      </w:r>
      <w:r>
        <w:t xml:space="preserve"> </w:t>
      </w:r>
      <w:r>
        <w:rPr>
          <w:bCs/>
          <w:b/>
        </w:rPr>
        <w:t xml:space="preserve">this is very</w:t>
      </w:r>
      <w:r>
        <w:rPr>
          <w:bCs/>
          <w:b/>
        </w:rPr>
        <w:t xml:space="preserve"> </w:t>
      </w:r>
      <w:r>
        <w:rPr>
          <w:bCs/>
          <w:b/>
        </w:rPr>
        <w:t xml:space="preserve">likely the same engagement</w:t>
      </w:r>
      <w:r>
        <w:t xml:space="preserve"> </w:t>
      </w:r>
      <w:r>
        <w:t xml:space="preserve">— 220 ha in Minas Gerais, CAR/SICAR</w:t>
      </w:r>
      <w:r>
        <w:t xml:space="preserve"> </w:t>
      </w:r>
      <w:r>
        <w:t xml:space="preserve">georeferencing. [CONFIRM this link explicitly with the founder before</w:t>
      </w:r>
      <w:r>
        <w:t xml:space="preserve"> </w:t>
      </w:r>
      <w:r>
        <w:t xml:space="preserve">presenting it as one unified case study to investors; if they are in</w:t>
      </w:r>
      <w:r>
        <w:t xml:space="preserve"> </w:t>
      </w:r>
      <w:r>
        <w:t xml:space="preserve">fact two different projects, split this file back into two.]</w:t>
      </w:r>
    </w:p>
    <w:bookmarkEnd w:id="21"/>
    <w:bookmarkStart w:id="22" w:name="X714bf1aae0f7c43e1672d095ecff7d7ac76fd43"/>
    <w:p>
      <w:pPr>
        <w:pStyle w:val="Heading2"/>
      </w:pPr>
      <w:r>
        <w:t xml:space="preserve">The engagement (assuming the link above holds)</w:t>
      </w:r>
    </w:p>
    <w:p>
      <w:pPr>
        <w:pStyle w:val="FirstParagraph"/>
      </w:pPr>
      <w:r>
        <w:rPr>
          <w:bCs/>
          <w:b/>
        </w:rPr>
        <w:t xml:space="preserve">The problem:</w:t>
      </w:r>
      <w:r>
        <w:t xml:space="preserve"> </w:t>
      </w:r>
      <w:r>
        <w:t xml:space="preserve">a CAR (Cadastro Ambiental Rural) registration depends</w:t>
      </w:r>
      <w:r>
        <w:t xml:space="preserve"> </w:t>
      </w:r>
      <w:r>
        <w:t xml:space="preserve">on boundary geometry accurate enough to survive scrutiny — from SICAR</w:t>
      </w:r>
      <w:r>
        <w:t xml:space="preserve"> </w:t>
      </w:r>
      <w:r>
        <w:t xml:space="preserve">itself, from INCRA/SIGEF, and from any bank or certifier later relying</w:t>
      </w:r>
      <w:r>
        <w:t xml:space="preserve"> </w:t>
      </w:r>
      <w:r>
        <w:t xml:space="preserve">on that boundary for credit or carbon purposes.</w:t>
      </w:r>
    </w:p>
    <w:p>
      <w:pPr>
        <w:pStyle w:val="BodyText"/>
      </w:pPr>
      <w:r>
        <w:rPr>
          <w:bCs/>
          <w:b/>
        </w:rPr>
        <w:t xml:space="preserve">What AgrosTech did:</w:t>
      </w:r>
      <w:r>
        <w:t xml:space="preserve"> </w:t>
      </w:r>
      <w:r>
        <w:t xml:space="preserve">drone flight over the 220 ha property to capture</w:t>
      </w:r>
      <w:r>
        <w:t xml:space="preserve"> </w:t>
      </w:r>
      <w:r>
        <w:t xml:space="preserve">centimeter-accurate boundary and topography data, georeferenced against</w:t>
      </w:r>
      <w:r>
        <w:t xml:space="preserve"> </w:t>
      </w:r>
      <w:r>
        <w:t xml:space="preserve">SICAR/CAR registry requirements, delivering registry-ready boundary</w:t>
      </w:r>
      <w:r>
        <w:t xml:space="preserve"> </w:t>
      </w:r>
      <w:r>
        <w:t xml:space="preserve">geometry and supporting documentation.</w:t>
      </w:r>
    </w:p>
    <w:p>
      <w:pPr>
        <w:pStyle w:val="BodyText"/>
      </w:pPr>
      <w:r>
        <w:rPr>
          <w:bCs/>
          <w:b/>
        </w:rPr>
        <w:t xml:space="preserve">Outcome:</w:t>
      </w:r>
      <w:r>
        <w:t xml:space="preserve"> </w:t>
      </w:r>
      <w:r>
        <w:t xml:space="preserve">delivered and paid. The client came back for more —</w:t>
      </w:r>
      <w:r>
        <w:t xml:space="preserve"> </w:t>
      </w:r>
      <w:r>
        <w:t xml:space="preserve">generating</w:t>
      </w:r>
      <w:r>
        <w:t xml:space="preserve"> </w:t>
      </w:r>
      <w:r>
        <w:rPr>
          <w:bCs/>
          <w:b/>
        </w:rPr>
        <w:t xml:space="preserve">retention and a scope renegotiation</w:t>
      </w:r>
      <w:r>
        <w:t xml:space="preserve">, i.e., the initial</w:t>
      </w:r>
      <w:r>
        <w:t xml:space="preserve"> </w:t>
      </w:r>
      <w:r>
        <w:t xml:space="preserve">survey opened a larger, ongoing relationship rather than a one-off</w:t>
      </w:r>
      <w:r>
        <w:t xml:space="preserve"> </w:t>
      </w:r>
      <w:r>
        <w:t xml:space="preserve">transaction. This is a meaningfully stronger proof point than</w:t>
      </w:r>
      <w:r>
        <w:t xml:space="preserve"> </w:t>
      </w:r>
      <w:r>
        <w:t xml:space="preserve">“</w:t>
      </w:r>
      <w:r>
        <w:t xml:space="preserve">we did</w:t>
      </w:r>
      <w:r>
        <w:t xml:space="preserve"> </w:t>
      </w:r>
      <w:r>
        <w:t xml:space="preserve">one job and got paid</w:t>
      </w:r>
      <w:r>
        <w:t xml:space="preserve">”</w:t>
      </w:r>
      <w:r>
        <w:t xml:space="preserve"> </w:t>
      </w:r>
      <w:r>
        <w:t xml:space="preserve">— it’s early evidence of the subscription/upsell</w:t>
      </w:r>
      <w:r>
        <w:t xml:space="preserve"> </w:t>
      </w:r>
      <w:r>
        <w:t xml:space="preserve">motion the Passaporte de Crédito Rural model depends on.</w:t>
      </w:r>
    </w:p>
    <w:p>
      <w:pPr>
        <w:pStyle w:val="BodyText"/>
      </w:pPr>
      <w:r>
        <w:t xml:space="preserve">[CONFIRM — exact dates, price paid, and what the renegotiated scope</w:t>
      </w:r>
      <w:r>
        <w:t xml:space="preserve"> </w:t>
      </w:r>
      <w:r>
        <w:t xml:space="preserve">now covers.]</w:t>
      </w:r>
    </w:p>
    <w:bookmarkEnd w:id="22"/>
    <w:bookmarkStart w:id="23" w:name="X185ec06bbfb9f632713d77adb7a35280191e39f"/>
    <w:p>
      <w:pPr>
        <w:pStyle w:val="Heading2"/>
      </w:pPr>
      <w:r>
        <w:t xml:space="preserve">Separate reference: the 35 ha weed-stress scan</w:t>
      </w:r>
    </w:p>
    <w:p>
      <w:pPr>
        <w:pStyle w:val="FirstParagraph"/>
      </w:pPr>
      <w:r>
        <w:t xml:space="preserve">A distinct engagement (not mentioned on the current deck — worth adding</w:t>
      </w:r>
      <w:r>
        <w:t xml:space="preserve"> </w:t>
      </w:r>
      <w:r>
        <w:t xml:space="preserve">if there’s room, since it’s a clean, fast ROI story):</w:t>
      </w:r>
    </w:p>
    <w:p>
      <w:pPr>
        <w:numPr>
          <w:ilvl w:val="0"/>
          <w:numId w:val="1002"/>
        </w:numPr>
        <w:pStyle w:val="Compact"/>
      </w:pPr>
      <w:r>
        <w:t xml:space="preserve">35 ha scanned; only 10 ha showed actual weed/pest stress.</w:t>
      </w:r>
    </w:p>
    <w:p>
      <w:pPr>
        <w:numPr>
          <w:ilvl w:val="0"/>
          <w:numId w:val="1002"/>
        </w:numPr>
        <w:pStyle w:val="Compact"/>
      </w:pPr>
      <w:r>
        <w:t xml:space="preserve">Product (herbicide/pesticide) was applied only to the 10 affected ha</w:t>
      </w:r>
      <w:r>
        <w:t xml:space="preserve"> </w:t>
      </w:r>
      <w:r>
        <w:t xml:space="preserve">instead of the full 35 ha.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Reais saved per hectare:</w:t>
      </w:r>
      <w:r>
        <w:t xml:space="preserve"> </w:t>
      </w:r>
      <w:r>
        <w:t xml:space="preserve">[CONFIRM — founder to provide the R$/ha</w:t>
      </w:r>
      <w:r>
        <w:t xml:space="preserve"> </w:t>
      </w:r>
      <w:r>
        <w:t xml:space="preserve">savings figure].</w:t>
      </w:r>
    </w:p>
    <w:bookmarkEnd w:id="23"/>
    <w:bookmarkStart w:id="24" w:name="why-this-matters-to-investors"/>
    <w:p>
      <w:pPr>
        <w:pStyle w:val="Heading2"/>
      </w:pPr>
      <w:r>
        <w:t xml:space="preserve">Why this matters to investors</w:t>
      </w:r>
    </w:p>
    <w:p>
      <w:pPr>
        <w:pStyle w:val="FirstParagraph"/>
      </w:pPr>
      <w:r>
        <w:t xml:space="preserve">The 220 ha Minas Gerais engagement demonstrates two things the deck’s</w:t>
      </w:r>
      <w:r>
        <w:t xml:space="preserve"> </w:t>
      </w:r>
      <w:r>
        <w:t xml:space="preserve">own narrative depends on: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Registry-grade accuracy</w:t>
      </w:r>
      <w:r>
        <w:t xml:space="preserve"> </w:t>
      </w:r>
      <w:r>
        <w:t xml:space="preserve">→ the exact</w:t>
      </w:r>
      <w:r>
        <w:t xml:space="preserve"> </w:t>
      </w:r>
      <w:r>
        <w:t xml:space="preserve">“</w:t>
      </w:r>
      <w:r>
        <w:t xml:space="preserve">antes de assinar</w:t>
      </w:r>
      <w:r>
        <w:t xml:space="preserve">”</w:t>
      </w:r>
      <w:r>
        <w:t xml:space="preserve"> </w:t>
      </w:r>
      <w:r>
        <w:t xml:space="preserve">stage of</w:t>
      </w:r>
      <w:r>
        <w:t xml:space="preserve"> </w:t>
      </w:r>
      <w:r>
        <w:t xml:space="preserve">the Passaporte de Crédito Rural (see</w:t>
      </w:r>
      <w:r>
        <w:t xml:space="preserve"> </w:t>
      </w:r>
      <w:r>
        <w:rPr>
          <w:rStyle w:val="VerbatimChar"/>
        </w:rPr>
        <w:t xml:space="preserve">09-product/PRODUCT_OVERVIEW.md</w:t>
      </w:r>
      <w:r>
        <w:t xml:space="preserve">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Retention and scope expansion from a single delivered project</w:t>
      </w:r>
      <w:r>
        <w:t xml:space="preserve"> </w:t>
      </w:r>
      <w:r>
        <w:t xml:space="preserve">→</w:t>
      </w:r>
      <w:r>
        <w:t xml:space="preserve"> </w:t>
      </w:r>
      <w:r>
        <w:t xml:space="preserve">early, real evidence for the land-under-subscription growth curve the</w:t>
      </w:r>
      <w:r>
        <w:t xml:space="preserve"> </w:t>
      </w:r>
      <w:r>
        <w:t xml:space="preserve">financial model’s scenarios depend on (see</w:t>
      </w:r>
      <w:r>
        <w:t xml:space="preserve"> </w:t>
      </w:r>
      <w:r>
        <w:rPr>
          <w:rStyle w:val="VerbatimChar"/>
        </w:rPr>
        <w:t xml:space="preserve">07-financials/FINANCIAL_MODEL.xlsx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Case Study v2.0 | Confidencial | 2026 | Reconciled against the founder’s pitch deck (2026-09-24) | Link between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Fabio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and the deck’s 220ha project marked [CONFIRM]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2026-09-24T14:35:00Z</dcterms:created>
  <dcterms:modified xsi:type="dcterms:W3CDTF">2026-09-24T14:35:00Z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