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rone-agro-compliance"/>
    <w:p>
      <w:pPr>
        <w:pStyle w:val="Heading1"/>
      </w:pPr>
      <w:r>
        <w:t xml:space="preserve">Drone &amp; Agro Compliance</w:t>
      </w:r>
    </w:p>
    <w:p>
      <w:pPr>
        <w:pStyle w:val="FirstParagraph"/>
      </w:pPr>
      <w:r>
        <w:rPr>
          <w:bCs/>
          <w:b/>
        </w:rPr>
        <w:t xml:space="preserve">Status: ✅ regulatory framework is well-documented in this repo; [CONFIRM] items are AgrosTech’s actual registration/license status.</w:t>
      </w:r>
    </w:p>
    <w:p>
      <w:pPr>
        <w:pStyle w:val="BodyText"/>
      </w:pPr>
      <w:r>
        <w:t xml:space="preserve">Full regulatory reference:</w:t>
      </w:r>
      <w:r>
        <w:t xml:space="preserve"> </w:t>
      </w:r>
      <w:r>
        <w:rPr>
          <w:rStyle w:val="VerbatimChar"/>
        </w:rPr>
        <w:t xml:space="preserve">knowledge-base/DRONE_REGULATIONS.md</w:t>
      </w:r>
      <w:r>
        <w:t xml:space="preserve"> </w:t>
      </w:r>
      <w:r>
        <w:t xml:space="preserve">(ANAC,</w:t>
      </w:r>
      <w:r>
        <w:t xml:space="preserve"> </w:t>
      </w:r>
      <w:r>
        <w:t xml:space="preserve">DECEA, SARPAS, IBAMA, LGPD, insurance, penalties) — that document is</w:t>
      </w:r>
      <w:r>
        <w:t xml:space="preserve"> </w:t>
      </w:r>
      <w:r>
        <w:t xml:space="preserve">accurate and current as of its last review and is the source for this</w:t>
      </w:r>
      <w:r>
        <w:t xml:space="preserve"> </w:t>
      </w:r>
      <w:r>
        <w:t xml:space="preserve">summary. Read it in full for diligence; this file is the investor-facing</w:t>
      </w:r>
      <w:r>
        <w:t xml:space="preserve"> </w:t>
      </w:r>
      <w:r>
        <w:t xml:space="preserve">summary.</w:t>
      </w:r>
    </w:p>
    <w:bookmarkStart w:id="20" w:name="X3779d0fd2c8da7136663e015c94898c4f4ee808"/>
    <w:p>
      <w:pPr>
        <w:pStyle w:val="Heading2"/>
      </w:pPr>
      <w:r>
        <w:t xml:space="preserve">Registrations &amp; licenses (fill in AgrosTech’s actual status)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ANAC pilot certification(s)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 — which pilots, which classes]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SISANT drone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 — which drones registered]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DECEA/SARPAS operating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 responsible agronomist (for spraying/MAPA-regulated work, if applicable)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</w:tr>
    </w:tbl>
    <w:bookmarkEnd w:id="20"/>
    <w:bookmarkStart w:id="21" w:name="X0a160ba694b19edfaaa5a973ff39a803d25f542"/>
    <w:p>
      <w:pPr>
        <w:pStyle w:val="Heading2"/>
      </w:pPr>
      <w:r>
        <w:t xml:space="preserve">Why this is a clean story for AgrosTech’s current product</w:t>
      </w:r>
    </w:p>
    <w:p>
      <w:pPr>
        <w:pStyle w:val="FirstParagraph"/>
      </w:pPr>
      <w:r>
        <w:t xml:space="preserve">The core subscription product (Passaporte de Crédito Rural) is built</w:t>
      </w:r>
      <w:r>
        <w:t xml:space="preserve"> </w:t>
      </w:r>
      <w:r>
        <w:t xml:space="preserve">from</w:t>
      </w:r>
      <w:r>
        <w:t xml:space="preserve"> </w:t>
      </w:r>
      <w:r>
        <w:rPr>
          <w:bCs/>
          <w:b/>
        </w:rPr>
        <w:t xml:space="preserve">NDVI/satellite + boundary/topography data</w:t>
      </w:r>
      <w:r>
        <w:t xml:space="preserve">, not spraying — so the</w:t>
      </w:r>
      <w:r>
        <w:t xml:space="preserve"> </w:t>
      </w:r>
      <w:r>
        <w:t xml:space="preserve">most regulatorily intensive part of the drone-services business (MAPA</w:t>
      </w:r>
      <w:r>
        <w:t xml:space="preserve"> </w:t>
      </w:r>
      <w:r>
        <w:t xml:space="preserve">aerial-application rules) applies mainly to the one-off survey side, not</w:t>
      </w:r>
      <w:r>
        <w:t xml:space="preserve"> </w:t>
      </w:r>
      <w:r>
        <w:t xml:space="preserve">the core subscription. This is worth stating explicitly to investors:</w:t>
      </w:r>
      <w:r>
        <w:t xml:space="preserve"> </w:t>
      </w:r>
      <w:r>
        <w:t xml:space="preserve">the recurring-revenue product has a lighter regulatory footprint than</w:t>
      </w:r>
      <w:r>
        <w:t xml:space="preserve"> </w:t>
      </w:r>
      <w:r>
        <w:t xml:space="preserve">the services side.</w:t>
      </w:r>
    </w:p>
    <w:bookmarkEnd w:id="21"/>
    <w:bookmarkStart w:id="22" w:name="Xc625f85e1f8bc8ea8006a681791f34722b8f368"/>
    <w:p>
      <w:pPr>
        <w:pStyle w:val="Heading2"/>
      </w:pPr>
      <w:r>
        <w:t xml:space="preserve">Per-mission compliance checklist (from</w:t>
      </w:r>
      <w:r>
        <w:t xml:space="preserve"> </w:t>
      </w:r>
      <w:r>
        <w:rPr>
          <w:rStyle w:val="VerbatimChar"/>
        </w:rPr>
        <w:t xml:space="preserve">DRONE_REGULATIONS.md</w:t>
      </w:r>
      <w:r>
        <w:t xml:space="preserve"> </w:t>
      </w:r>
      <w:r>
        <w:t xml:space="preserve">§7)</w:t>
      </w:r>
    </w:p>
    <w:p>
      <w:pPr>
        <w:pStyle w:val="SourceCode"/>
      </w:pPr>
      <w:r>
        <w:rPr>
          <w:rStyle w:val="VerbatimChar"/>
        </w:rPr>
        <w:t xml:space="preserve">☐ SARPAS authorization obtained and saved</w:t>
      </w:r>
      <w:r>
        <w:br/>
      </w:r>
      <w:r>
        <w:rPr>
          <w:rStyle w:val="VerbatimChar"/>
        </w:rPr>
        <w:t xml:space="preserve">☐ NOTAM checked for area and date</w:t>
      </w:r>
      <w:r>
        <w:br/>
      </w:r>
      <w:r>
        <w:rPr>
          <w:rStyle w:val="VerbatimChar"/>
        </w:rPr>
        <w:t xml:space="preserve">☐ Pilot with valid ANAC certification</w:t>
      </w:r>
      <w:r>
        <w:br/>
      </w:r>
      <w:r>
        <w:rPr>
          <w:rStyle w:val="VerbatimChar"/>
        </w:rPr>
        <w:t xml:space="preserve">☐ Drone with active SISANT registration</w:t>
      </w:r>
      <w:r>
        <w:br/>
      </w:r>
      <w:r>
        <w:rPr>
          <w:rStyle w:val="VerbatimChar"/>
        </w:rPr>
        <w:t xml:space="preserve">☐ Written landowner authorization</w:t>
      </w:r>
      <w:r>
        <w:br/>
      </w:r>
      <w:r>
        <w:rPr>
          <w:rStyle w:val="VerbatimChar"/>
        </w:rPr>
        <w:t xml:space="preserve">☐ Valid RPAS liability insurance</w:t>
      </w:r>
      <w:r>
        <w:br/>
      </w:r>
      <w:r>
        <w:rPr>
          <w:rStyle w:val="VerbatimChar"/>
        </w:rPr>
        <w:t xml:space="preserve">☐ Weather within limits</w:t>
      </w:r>
      <w:r>
        <w:br/>
      </w:r>
      <w:r>
        <w:rPr>
          <w:rStyle w:val="VerbatimChar"/>
        </w:rPr>
        <w:t xml:space="preserve">☐ VLOS operation</w:t>
      </w:r>
      <w:r>
        <w:br/>
      </w:r>
      <w:r>
        <w:rPr>
          <w:rStyle w:val="VerbatimChar"/>
        </w:rPr>
        <w:t xml:space="preserve">☐ Altitude ≤ 120m AGL (or special authorization)</w:t>
      </w:r>
      <w:r>
        <w:br/>
      </w:r>
      <w:r>
        <w:rPr>
          <w:rStyle w:val="VerbatimChar"/>
        </w:rPr>
        <w:t xml:space="preserve">☐ ≥ 30m distance from uninvolved people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AgrosTech — Drone &amp; Agro Compliance v1.0 | Confidencial | 2026 | See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knowledge-base/DRONE_REGULATIONS.md</w:t>
      </w:r>
      <w:r>
        <w:rPr>
          <w:iCs/>
          <w:i/>
        </w:rPr>
        <w:t xml:space="preserve"> </w:t>
      </w:r>
      <w:r>
        <w:rPr>
          <w:iCs/>
          <w:i/>
        </w:rPr>
        <w:t xml:space="preserve">for full detail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2026-09-24T14:35:02Z</dcterms:created>
  <dcterms:modified xsi:type="dcterms:W3CDTF">2026-09-24T14:35:02Z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