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and-assets"/>
    <w:p>
      <w:pPr>
        <w:pStyle w:val="Heading1"/>
      </w:pPr>
      <w:r>
        <w:t xml:space="preserve">Brand Assets</w:t>
      </w:r>
    </w:p>
    <w:p>
      <w:pPr>
        <w:pStyle w:val="FirstParagraph"/>
      </w:pPr>
      <w:r>
        <w:rPr>
          <w:bCs/>
          <w:b/>
        </w:rPr>
        <w:t xml:space="preserve">Status: ✅ inventory of what exists in the repo; palette/font tokens pulled directly from live code.</w:t>
      </w:r>
    </w:p>
    <w:bookmarkStart w:id="20" w:name="logo-files"/>
    <w:p>
      <w:pPr>
        <w:pStyle w:val="Heading2"/>
      </w:pPr>
      <w:r>
        <w:t xml:space="preserve">Logo 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(PNG)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 (SVG)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saas/public/logo.svg</w:t>
            </w:r>
          </w:p>
        </w:tc>
      </w:tr>
    </w:tbl>
    <w:bookmarkEnd w:id="20"/>
    <w:bookmarkStart w:id="21" w:name="Xe1414cfaf92abbb9211a46ddf2b5ceb54a45164"/>
    <w:p>
      <w:pPr>
        <w:pStyle w:val="Heading2"/>
      </w:pPr>
      <w:r>
        <w:t xml:space="preserve">Color palette &amp; typography (from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, the live marketing site)</w:t>
      </w:r>
    </w:p>
    <w:p>
      <w:pPr>
        <w:pStyle w:val="FirstParagraph"/>
      </w:pPr>
      <w:r>
        <w:t xml:space="preserve">The landing page (</w:t>
      </w:r>
      <w:r>
        <w:rPr>
          <w:rStyle w:val="VerbatimChar"/>
        </w:rPr>
        <w:t xml:space="preserve">site/index.html</w:t>
      </w:r>
      <w:r>
        <w:t xml:space="preserve">) defines a</w:t>
      </w:r>
      <w:r>
        <w:t xml:space="preserve"> </w:t>
      </w:r>
      <w:r>
        <w:t xml:space="preserve">“</w:t>
      </w:r>
      <w:r>
        <w:t xml:space="preserve">night desk</w:t>
      </w:r>
      <w:r>
        <w:t xml:space="preserve">”</w:t>
      </w:r>
      <w:r>
        <w:t xml:space="preserve"> </w:t>
      </w:r>
      <w:r>
        <w:t xml:space="preserve">dark theme,</w:t>
      </w:r>
      <w:r>
        <w:t xml:space="preserve"> </w:t>
      </w:r>
      <w:r>
        <w:t xml:space="preserve">tied to the brand green — reusable as the canonical palette reference: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oklch(0.190 0.018 152)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—</w:t>
            </w:r>
            <w:r>
              <w:t xml:space="preserve"> </w:t>
            </w:r>
            <w:r>
              <w:t xml:space="preserve">“</w:t>
            </w:r>
            <w:r>
              <w:t xml:space="preserve">ground seen at night, tinted to the brand green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oklch(0.945 0.009 120)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oklch(0.680 0.014 150)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oklch(0.780 0.152 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sodium lamp</w:t>
            </w:r>
            <w:r>
              <w:t xml:space="preserve">”</w:t>
            </w:r>
            <w:r>
              <w:t xml:space="preserve"> </w:t>
            </w:r>
            <w:r>
              <w:t xml:space="preserve">— the one saturated accent color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--display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Bricolage Grotesque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--body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--data</w:t>
            </w:r>
            <w:r>
              <w:t xml:space="preserve"> </w:t>
            </w:r>
            <w: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Plex 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Data/numeric display</w:t>
            </w:r>
          </w:p>
        </w:tc>
      </w:tr>
    </w:tbl>
    <w:bookmarkEnd w:id="21"/>
    <w:bookmarkStart w:id="22" w:name="field-photography"/>
    <w:p>
      <w:pPr>
        <w:pStyle w:val="Heading2"/>
      </w:pPr>
      <w:r>
        <w:t xml:space="preserve">Field photography</w:t>
      </w:r>
    </w:p>
    <w:p>
      <w:pPr>
        <w:pStyle w:val="FirstParagraph"/>
      </w:pPr>
      <w:r>
        <w:t xml:space="preserve">Real field/product photography exists at</w:t>
      </w:r>
      <w:r>
        <w:t xml:space="preserve"> </w:t>
      </w:r>
      <w:r>
        <w:rPr>
          <w:rStyle w:val="VerbatimChar"/>
        </w:rPr>
        <w:t xml:space="preserve">site/assets/</w:t>
      </w:r>
      <w:r>
        <w:t xml:space="preserve">: drone</w:t>
      </w:r>
      <w:r>
        <w:t xml:space="preserve"> </w:t>
      </w:r>
      <w:r>
        <w:t xml:space="preserve">operations (</w:t>
      </w:r>
      <w:r>
        <w:rPr>
          <w:rStyle w:val="VerbatimChar"/>
        </w:rPr>
        <w:t xml:space="preserve">drone-asafixa.png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drone-pulverizador.png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drone-quad-frente.png</w:t>
      </w:r>
      <w:r>
        <w:t xml:space="preserve">), field team (</w:t>
      </w:r>
      <w:r>
        <w:rPr>
          <w:rStyle w:val="VerbatimChar"/>
        </w:rPr>
        <w:t xml:space="preserve">equipe-asafixa.png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equipe-cacamba.png</w:t>
      </w:r>
      <w:r>
        <w:t xml:space="preserve">), and product output examples (</w:t>
      </w:r>
      <w:r>
        <w:rPr>
          <w:rStyle w:val="VerbatimChar"/>
        </w:rPr>
        <w:t xml:space="preserve">declividade.png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modelo-terreno.png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falhas-linhas.jpg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falhas-plantio.jpg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voo-cana.jpg</w:t>
      </w:r>
      <w:r>
        <w:t xml:space="preserve">). These are usable in a pitch deck once cleared for the</w:t>
      </w:r>
      <w:r>
        <w:t xml:space="preserve"> </w:t>
      </w:r>
      <w:r>
        <w:t xml:space="preserve">current product framing (subscription/credit-passport model) rather</w:t>
      </w:r>
      <w:r>
        <w:t xml:space="preserve"> </w:t>
      </w:r>
      <w:r>
        <w:t xml:space="preserve">than presented as generic drone-services marketing.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Brand Assets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