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158ffefac133d8c5df47e06ee98852dcc4145ae"/>
    <w:p>
      <w:pPr>
        <w:pStyle w:val="Heading1"/>
      </w:pPr>
      <w:r>
        <w:t xml:space="preserve">Long-Term Vision — From Field Evidence to LIM</w:t>
      </w:r>
    </w:p>
    <w:p>
      <w:pPr>
        <w:pStyle w:val="FirstParagraph"/>
      </w:pPr>
      <w:r>
        <w:rPr>
          <w:bCs/>
          <w:b/>
        </w:rPr>
        <w:t xml:space="preserve">Status: 🟡</w:t>
      </w:r>
      <w:r>
        <w:t xml:space="preserve"> </w:t>
      </w:r>
      <w:r>
        <w:t xml:space="preserve">— structure and logic are solid; specific milestones/dates</w:t>
      </w:r>
      <w:r>
        <w:t xml:space="preserve"> </w:t>
      </w:r>
      <w:r>
        <w:t xml:space="preserve">marked [CONFIRM] need founder sign-off before this goes external.</w:t>
      </w:r>
    </w:p>
    <w:bookmarkStart w:id="23" w:name="the-arc"/>
    <w:p>
      <w:pPr>
        <w:pStyle w:val="Heading2"/>
      </w:pPr>
      <w:r>
        <w:t xml:space="preserve">The arc</w:t>
      </w:r>
    </w:p>
    <w:p>
      <w:pPr>
        <w:pStyle w:val="FirstParagraph"/>
      </w:pPr>
      <w:r>
        <w:t xml:space="preserve">AgrosTech’s roadmap has three stages, each building on the credibility of</w:t>
      </w:r>
      <w:r>
        <w:t xml:space="preserve"> </w:t>
      </w:r>
      <w:r>
        <w:t xml:space="preserve">the one before it:</w:t>
      </w:r>
    </w:p>
    <w:bookmarkStart w:id="20" w:name="stage-1-field-evidence-today"/>
    <w:p>
      <w:pPr>
        <w:pStyle w:val="Heading3"/>
      </w:pPr>
      <w:r>
        <w:t xml:space="preserve">Stage 1 — Field evidence (today)</w:t>
      </w:r>
    </w:p>
    <w:p>
      <w:pPr>
        <w:pStyle w:val="FirstParagraph"/>
      </w:pPr>
      <w:r>
        <w:t xml:space="preserve">Drone and satellite data collected per property, tied to a CAR number.</w:t>
      </w:r>
      <w:r>
        <w:t xml:space="preserve"> </w:t>
      </w:r>
      <w:r>
        <w:t xml:space="preserve">Outputs: NDVI maps, boundary/topography accuracy, biomass estimates. Sold</w:t>
      </w:r>
      <w:r>
        <w:t xml:space="preserve"> </w:t>
      </w:r>
      <w:r>
        <w:t xml:space="preserve">as one-off survey services and as the data backbone of the subscription</w:t>
      </w:r>
      <w:r>
        <w:t xml:space="preserve"> </w:t>
      </w:r>
      <w:r>
        <w:t xml:space="preserve">product.</w:t>
      </w:r>
    </w:p>
    <w:bookmarkEnd w:id="20"/>
    <w:bookmarkStart w:id="21" w:name="Xeb10752dce18655c39f387512ff2c58ebb9940d"/>
    <w:p>
      <w:pPr>
        <w:pStyle w:val="Heading3"/>
      </w:pPr>
      <w:r>
        <w:t xml:space="preserve">Stage 2 — Passaporte de Crédito Rural (current product)</w:t>
      </w:r>
    </w:p>
    <w:p>
      <w:pPr>
        <w:pStyle w:val="FirstParagraph"/>
      </w:pPr>
      <w:r>
        <w:t xml:space="preserve">The same evidence, standardized and continuously updated, packaged as a</w:t>
      </w:r>
      <w:r>
        <w:t xml:space="preserve"> </w:t>
      </w:r>
      <w:r>
        <w:t xml:space="preserve">credit-grade document: a</w:t>
      </w:r>
      <w:r>
        <w:t xml:space="preserve"> </w:t>
      </w:r>
      <w:r>
        <w:t xml:space="preserve">“</w:t>
      </w:r>
      <w:r>
        <w:t xml:space="preserve">passport</w:t>
      </w:r>
      <w:r>
        <w:t xml:space="preserve">”</w:t>
      </w:r>
      <w:r>
        <w:t xml:space="preserve"> </w:t>
      </w:r>
      <w:r>
        <w:t xml:space="preserve">that a bank, cooperative, or</w:t>
      </w:r>
      <w:r>
        <w:t xml:space="preserve"> </w:t>
      </w:r>
      <w:r>
        <w:t xml:space="preserve">certifier can rely on without commissioning its own survey. Priced as a</w:t>
      </w:r>
      <w:r>
        <w:t xml:space="preserve"> </w:t>
      </w:r>
      <w:r>
        <w:rPr>
          <w:bCs/>
          <w:b/>
        </w:rPr>
        <w:t xml:space="preserve">R$ 4/ha/year</w:t>
      </w:r>
      <w:r>
        <w:t xml:space="preserve"> </w:t>
      </w:r>
      <w:r>
        <w:t xml:space="preserve">subscription — the economics work because the marginal</w:t>
      </w:r>
      <w:r>
        <w:t xml:space="preserve"> </w:t>
      </w:r>
      <w:r>
        <w:t xml:space="preserve">cost of re-checking a property already in the system is far lower than</w:t>
      </w:r>
      <w:r>
        <w:t xml:space="preserve"> </w:t>
      </w:r>
      <w:r>
        <w:t xml:space="preserve">the cost of the first survey.</w:t>
      </w:r>
    </w:p>
    <w:bookmarkEnd w:id="21"/>
    <w:bookmarkStart w:id="22" w:name="stage-3-lim-land-viability-index"/>
    <w:p>
      <w:pPr>
        <w:pStyle w:val="Heading3"/>
      </w:pPr>
      <w:r>
        <w:t xml:space="preserve">Stage 3 — LIM: Land viability index</w:t>
      </w:r>
    </w:p>
    <w:p>
      <w:pPr>
        <w:pStyle w:val="FirstParagraph"/>
      </w:pPr>
      <w:r>
        <w:t xml:space="preserve">[CONFIRM — founder to define LIM’s exact scope.] Directionally: an index</w:t>
      </w:r>
      <w:r>
        <w:t xml:space="preserve"> </w:t>
      </w:r>
      <w:r>
        <w:t xml:space="preserve">that goes beyond a single property’s credit passport to score land</w:t>
      </w:r>
      <w:r>
        <w:t xml:space="preserve"> </w:t>
      </w:r>
      <w:r>
        <w:t xml:space="preserve">viability more broadly — combining the Passaporte’s per-property data</w:t>
      </w:r>
      <w:r>
        <w:t xml:space="preserve"> </w:t>
      </w:r>
      <w:r>
        <w:t xml:space="preserve">with regional and historical context (climate, deforestation risk, yield</w:t>
      </w:r>
      <w:r>
        <w:t xml:space="preserve"> </w:t>
      </w:r>
      <w:r>
        <w:t xml:space="preserve">history) so that LIM becomes a reference layer usable by banks,</w:t>
      </w:r>
      <w:r>
        <w:t xml:space="preserve"> </w:t>
      </w:r>
      <w:r>
        <w:t xml:space="preserve">cooperatives, insurers, and carbon-market participants across an entire</w:t>
      </w:r>
      <w:r>
        <w:t xml:space="preserve"> </w:t>
      </w:r>
      <w:r>
        <w:t xml:space="preserve">territory, not just a single farm.</w:t>
      </w:r>
    </w:p>
    <w:bookmarkEnd w:id="22"/>
    <w:bookmarkEnd w:id="23"/>
    <w:bookmarkStart w:id="24" w:name="why-this-sequencing-works"/>
    <w:p>
      <w:pPr>
        <w:pStyle w:val="Heading2"/>
      </w:pPr>
      <w:r>
        <w:t xml:space="preserve">Why this sequencing works</w:t>
      </w:r>
    </w:p>
    <w:p>
      <w:pPr>
        <w:numPr>
          <w:ilvl w:val="0"/>
          <w:numId w:val="1001"/>
        </w:numPr>
        <w:pStyle w:val="Compact"/>
      </w:pPr>
      <w:r>
        <w:t xml:space="preserve">Each stage</w:t>
      </w:r>
      <w:r>
        <w:t xml:space="preserve"> </w:t>
      </w:r>
      <w:r>
        <w:rPr>
          <w:bCs/>
          <w:b/>
        </w:rPr>
        <w:t xml:space="preserve">reuses the same underlying data pipeline</w:t>
      </w:r>
      <w:r>
        <w:t xml:space="preserve"> </w:t>
      </w:r>
      <w:r>
        <w:t xml:space="preserve">(drone +</w:t>
      </w:r>
      <w:r>
        <w:t xml:space="preserve"> </w:t>
      </w:r>
      <w:r>
        <w:t xml:space="preserve">satellite + CAR-linked registry data) — the cost of stage 2 is</w:t>
      </w:r>
      <w:r>
        <w:t xml:space="preserve"> </w:t>
      </w:r>
      <w:r>
        <w:t xml:space="preserve">amortized stage-1 infrastructure, and stage 3 is amortized stage-2</w:t>
      </w:r>
      <w:r>
        <w:t xml:space="preserve"> </w:t>
      </w:r>
      <w:r>
        <w:t xml:space="preserve">infrastructure.</w:t>
      </w:r>
    </w:p>
    <w:p>
      <w:pPr>
        <w:numPr>
          <w:ilvl w:val="0"/>
          <w:numId w:val="1001"/>
        </w:numPr>
        <w:pStyle w:val="Compact"/>
      </w:pPr>
      <w:r>
        <w:t xml:space="preserve">Each stage has an</w:t>
      </w:r>
      <w:r>
        <w:t xml:space="preserve"> </w:t>
      </w:r>
      <w:r>
        <w:rPr>
          <w:bCs/>
          <w:b/>
        </w:rPr>
        <w:t xml:space="preserve">independent, provable ROI</w:t>
      </w:r>
      <w:r>
        <w:t xml:space="preserve"> </w:t>
      </w:r>
      <w:r>
        <w:t xml:space="preserve">(the weed-stress case</w:t>
      </w:r>
      <w:r>
        <w:t xml:space="preserve"> </w:t>
      </w:r>
      <w:r>
        <w:t xml:space="preserve">study is stage 1’s proof; the CAR/SICAR survey is the registry-grade</w:t>
      </w:r>
      <w:r>
        <w:t xml:space="preserve"> </w:t>
      </w:r>
      <w:r>
        <w:t xml:space="preserve">proof that underlies stage 2). Investors aren’t being asked to fund a</w:t>
      </w:r>
      <w:r>
        <w:t xml:space="preserve"> </w:t>
      </w:r>
      <w:r>
        <w:t xml:space="preserve">bet on stage 3 alone — stages 1 and 2 already have paying customers.</w:t>
      </w:r>
    </w:p>
    <w:p>
      <w:pPr>
        <w:numPr>
          <w:ilvl w:val="0"/>
          <w:numId w:val="1001"/>
        </w:numPr>
        <w:pStyle w:val="Compact"/>
      </w:pPr>
      <w:r>
        <w:t xml:space="preserve">Stage 2 → 3 is the moat: once a meaningful share of hectares in a</w:t>
      </w:r>
      <w:r>
        <w:t xml:space="preserve"> </w:t>
      </w:r>
      <w:r>
        <w:t xml:space="preserve">region carry a Passaporte, LIM becomes materially more accurate than</w:t>
      </w:r>
      <w:r>
        <w:t xml:space="preserve"> </w:t>
      </w:r>
      <w:r>
        <w:t xml:space="preserve">any single-property surveyor could produce, because it has population-</w:t>
      </w:r>
      <w:r>
        <w:t xml:space="preserve"> </w:t>
      </w:r>
      <w:r>
        <w:t xml:space="preserve">level context no competitor without that install base can replicate.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AgrosTech — Long-Term Vision v1.0 | Confidencial | 2026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2026-09-24T14:28:12Z</dcterms:created>
  <dcterms:modified xsi:type="dcterms:W3CDTF">2026-09-24T14:28:12Z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