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visors"/>
    <w:p>
      <w:pPr>
        <w:pStyle w:val="Heading1"/>
      </w:pPr>
      <w:r>
        <w:t xml:space="preserve">Advisors</w:t>
      </w:r>
    </w:p>
    <w:p>
      <w:pPr>
        <w:pStyle w:val="FirstParagraph"/>
      </w:pPr>
      <w:r>
        <w:rPr>
          <w:bCs/>
          <w:b/>
        </w:rPr>
        <w:t xml:space="preserve">Status: 🟡 three names confirmed via the pitch deck’s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quem já acredita</w:t>
      </w:r>
      <w:r>
        <w:rPr>
          <w:bCs/>
          <w:b/>
        </w:rPr>
        <w:t xml:space="preserve"> </w:t>
      </w:r>
      <w:r>
        <w:rPr>
          <w:bCs/>
          <w:b/>
        </w:rPr>
        <w:t xml:space="preserve">na AgrosTech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list; a fourth — Leonardo Finziola — added 2026-09-24,</w:t>
      </w:r>
      <w:r>
        <w:rPr>
          <w:bCs/>
          <w:b/>
        </w:rPr>
        <w:t xml:space="preserve"> </w:t>
      </w:r>
      <w:r>
        <w:t xml:space="preserve">[CONFIRM]** with the founder before he appears on an updated deck or</w:t>
      </w:r>
      <w:r>
        <w:t xml:space="preserve"> </w:t>
      </w:r>
      <w:r>
        <w:t xml:space="preserve">one-pager. Equity terms remain intentionally out of scope**, per founder</w:t>
      </w:r>
      <w:r>
        <w:t xml:space="preserve"> </w:t>
      </w:r>
      <w:r>
        <w:t xml:space="preserve">instruction (2026-09-24).</w:t>
      </w:r>
    </w:p>
    <w:bookmarkStart w:id="20" w:name="who"/>
    <w:p>
      <w:pPr>
        <w:pStyle w:val="Heading2"/>
      </w:pPr>
      <w:r>
        <w:t xml:space="preserve">Who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Chaim Finziola</w:t>
      </w:r>
      <w:r>
        <w:t xml:space="preserve"> </w:t>
      </w:r>
      <w:r>
        <w:t xml:space="preserve">— co-founder of Credix, a credit protocol and</w:t>
      </w:r>
      <w:r>
        <w:t xml:space="preserve"> </w:t>
      </w:r>
      <w:r>
        <w:t xml:space="preserve">fintech platform that has raised</w:t>
      </w:r>
      <w:r>
        <w:t xml:space="preserve"> </w:t>
      </w:r>
      <w:r>
        <w:rPr>
          <w:bCs/>
          <w:b/>
        </w:rPr>
        <w:t xml:space="preserve">$220M+</w:t>
      </w:r>
      <w:r>
        <w:t xml:space="preserve">. He’s not a passive name</w:t>
      </w:r>
      <w:r>
        <w:t xml:space="preserve"> </w:t>
      </w:r>
      <w:r>
        <w:t xml:space="preserve">on a slide either: he’s the person who reviewed AgrosTech’s pitch deck</w:t>
      </w:r>
      <w:r>
        <w:t xml:space="preserve"> </w:t>
      </w:r>
      <w:r>
        <w:t xml:space="preserve">and pushed for the fixes that shaped the version now in this room —</w:t>
      </w:r>
      <w:r>
        <w:t xml:space="preserve"> </w:t>
      </w:r>
      <w:r>
        <w:t xml:space="preserve">team logos, the bull/base/bear forecast, stated hypotheses, the cap</w:t>
      </w:r>
      <w:r>
        <w:t xml:space="preserve"> </w:t>
      </w:r>
      <w:r>
        <w:t xml:space="preserve">table slide. A credit-infrastructure builder advising a company whose</w:t>
      </w:r>
      <w:r>
        <w:t xml:space="preserve"> </w:t>
      </w:r>
      <w:r>
        <w:t xml:space="preserve">entire product is credit infrastructure for rural Brazil.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Gilberto Damasceno</w:t>
      </w:r>
      <w:r>
        <w:t xml:space="preserve"> </w:t>
      </w:r>
      <w:r>
        <w:t xml:space="preserve">— CEO of Shamal Aerospace &amp; Defense Hub. Brings</w:t>
      </w:r>
      <w:r>
        <w:t xml:space="preserve"> </w:t>
      </w:r>
      <w:r>
        <w:t xml:space="preserve">operating experience at the intersection of aerospace, sensing, and</w:t>
      </w:r>
      <w:r>
        <w:t xml:space="preserve"> </w:t>
      </w:r>
      <w:r>
        <w:t xml:space="preserve">defense-grade systems — directly adjacent to AgrosTech’s SAR-radar and</w:t>
      </w:r>
      <w:r>
        <w:t xml:space="preserve"> </w:t>
      </w:r>
      <w:r>
        <w:t xml:space="preserve">anomaly-detection stack (M2, M3).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Michelle Souza Vilela</w:t>
      </w:r>
      <w:r>
        <w:t xml:space="preserve"> </w:t>
      </w:r>
      <w:r>
        <w:t xml:space="preserve">— PhD in Agronomy; Coordinator of Innovation</w:t>
      </w:r>
      <w:r>
        <w:t xml:space="preserve"> </w:t>
      </w:r>
      <w:r>
        <w:t xml:space="preserve">and Technology Transfer at CDT/UnB (Centro de Apoio ao Desenvolvimento</w:t>
      </w:r>
      <w:r>
        <w:t xml:space="preserve"> </w:t>
      </w:r>
      <w:r>
        <w:t xml:space="preserve">Tecnológico, Universidade de Brasília). The academic backbone behind</w:t>
      </w:r>
      <w:r>
        <w:t xml:space="preserve"> </w:t>
      </w:r>
      <w:r>
        <w:t xml:space="preserve">AgrosTech’s confirmed UnB MOU (see</w:t>
      </w:r>
      <w:r>
        <w:t xml:space="preserve"> </w:t>
      </w:r>
      <w:r>
        <w:rPr>
          <w:rStyle w:val="VerbatimChar"/>
        </w:rPr>
        <w:t xml:space="preserve">01-company-snapshot/CASE_STUDY.md</w:t>
      </w:r>
      <w:r>
        <w:t xml:space="preserve">)</w:t>
      </w:r>
      <w:r>
        <w:t xml:space="preserve"> </w:t>
      </w:r>
      <w:r>
        <w:t xml:space="preserve">— she’s the reason the deck can credibly claim agronomic and</w:t>
      </w:r>
      <w:r>
        <w:t xml:space="preserve"> </w:t>
      </w:r>
      <w:r>
        <w:t xml:space="preserve">technology validation from a research institution, not just an</w:t>
      </w:r>
      <w:r>
        <w:t xml:space="preserve"> </w:t>
      </w:r>
      <w:r>
        <w:t xml:space="preserve">internal team’s word for it.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Leonardo Finziola</w:t>
      </w:r>
      <w:r>
        <w:t xml:space="preserve"> </w:t>
      </w:r>
      <w:r>
        <w:t xml:space="preserve">— Senior Director, Product, IoT LATAM at</w:t>
      </w:r>
      <w:r>
        <w:t xml:space="preserve"> </w:t>
      </w:r>
      <w:r>
        <w:rPr>
          <w:bCs/>
          <w:b/>
        </w:rPr>
        <w:t xml:space="preserve">Qualcomm</w:t>
      </w:r>
      <w:r>
        <w:t xml:space="preserve">. [CONFIRM with founder: relationship to Chaim Finziola —</w:t>
      </w:r>
      <w:r>
        <w:t xml:space="preserve"> </w:t>
      </w:r>
      <w:r>
        <w:t xml:space="preserve">likely family, worth stating plainly rather than leaving investors to</w:t>
      </w:r>
      <w:r>
        <w:t xml:space="preserve"> </w:t>
      </w:r>
      <w:r>
        <w:t xml:space="preserve">guess.] A senior product leader at one of the world’s largest</w:t>
      </w:r>
      <w:r>
        <w:t xml:space="preserve"> </w:t>
      </w:r>
      <w:r>
        <w:t xml:space="preserve">semiconductor and IoT platform companies, running product for an</w:t>
      </w:r>
      <w:r>
        <w:t xml:space="preserve"> </w:t>
      </w:r>
      <w:r>
        <w:t xml:space="preserve">entire region, is a serious credibility signal for a company whose</w:t>
      </w:r>
      <w:r>
        <w:t xml:space="preserve"> </w:t>
      </w:r>
      <w:r>
        <w:t xml:space="preserve">product depends on sensor fusion (satellite, SAR radar, drone) at</w:t>
      </w:r>
      <w:r>
        <w:t xml:space="preserve"> </w:t>
      </w:r>
      <w:r>
        <w:t xml:space="preserve">scale — exactly the hardware/connectivity domain Qualcomm’s IoT</w:t>
      </w:r>
      <w:r>
        <w:t xml:space="preserve"> </w:t>
      </w:r>
      <w:r>
        <w:t xml:space="preserve">business lives in. [CONFIRM: any concrete engagement so far — has he</w:t>
      </w:r>
      <w:r>
        <w:t xml:space="preserve"> </w:t>
      </w:r>
      <w:r>
        <w:t xml:space="preserve">reviewed the product, made an introduction, given technical input? If</w:t>
      </w:r>
      <w:r>
        <w:t xml:space="preserve"> </w:t>
      </w:r>
      <w:r>
        <w:t xml:space="preserve">yes, name it here; if it’s early-stage relationship-building, that’s</w:t>
      </w:r>
      <w:r>
        <w:t xml:space="preserve"> </w:t>
      </w:r>
      <w:r>
        <w:t xml:space="preserve">fine too, just say so rather than imply more.]</w:t>
      </w:r>
    </w:p>
    <w:bookmarkEnd w:id="20"/>
    <w:bookmarkStart w:id="21" w:name="whats-confirmed"/>
    <w:p>
      <w:pPr>
        <w:pStyle w:val="Heading2"/>
      </w:pPr>
      <w:r>
        <w:t xml:space="preserve">What’s confirmed</w:t>
      </w:r>
    </w:p>
    <w:p>
      <w:pPr>
        <w:pStyle w:val="FirstParagraph"/>
      </w:pPr>
      <w:r>
        <w:t xml:space="preserve">All four are people associated with AgrosTech at varying levels of</w:t>
      </w:r>
      <w:r>
        <w:t xml:space="preserve"> </w:t>
      </w:r>
      <w:r>
        <w:t xml:space="preserve">engagement — the first three appear on the pitch deck itself; Leonardo</w:t>
      </w:r>
      <w:r>
        <w:t xml:space="preserve"> </w:t>
      </w:r>
      <w:r>
        <w:t xml:space="preserve">was added by the founder on 2026-09-24 and has</w:t>
      </w:r>
      <w:r>
        <w:t xml:space="preserve"> </w:t>
      </w:r>
      <w:r>
        <w:rPr>
          <w:bCs/>
          <w:b/>
        </w:rPr>
        <w:t xml:space="preserve">not yet</w:t>
      </w:r>
      <w:r>
        <w:t xml:space="preserve"> </w:t>
      </w:r>
      <w:r>
        <w:t xml:space="preserve">been added to</w:t>
      </w:r>
      <w:r>
        <w:t xml:space="preserve"> </w:t>
      </w:r>
      <w:r>
        <w:t xml:space="preserve">the deck or one-pager. This is credibility signaling for the round,</w:t>
      </w:r>
      <w:r>
        <w:t xml:space="preserve"> </w:t>
      </w:r>
      <w:r>
        <w:t xml:space="preserve">distinct from formal advisor agreements.</w:t>
      </w:r>
    </w:p>
    <w:bookmarkEnd w:id="21"/>
    <w:bookmarkStart w:id="22" w:name="a-note-on-hyping-this-section"/>
    <w:p>
      <w:pPr>
        <w:pStyle w:val="Heading2"/>
      </w:pPr>
      <w:r>
        <w:t xml:space="preserve">A note on</w:t>
      </w:r>
      <w:r>
        <w:t xml:space="preserve"> </w:t>
      </w:r>
      <w:r>
        <w:t xml:space="preserve">“</w:t>
      </w:r>
      <w:r>
        <w:t xml:space="preserve">hyping</w:t>
      </w:r>
      <w:r>
        <w:t xml:space="preserve">”</w:t>
      </w:r>
      <w:r>
        <w:t xml:space="preserve"> </w:t>
      </w:r>
      <w:r>
        <w:t xml:space="preserve">this section</w:t>
      </w:r>
    </w:p>
    <w:p>
      <w:pPr>
        <w:pStyle w:val="FirstParagraph"/>
      </w:pPr>
      <w:r>
        <w:t xml:space="preserve">The instinct to make this list land harder is right — a name like</w:t>
      </w:r>
      <w:r>
        <w:t xml:space="preserve"> </w:t>
      </w:r>
      <w:r>
        <w:t xml:space="preserve">Qualcomm’s IoT LATAM product lead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carry weight in the room. The</w:t>
      </w:r>
      <w:r>
        <w:t xml:space="preserve"> </w:t>
      </w:r>
      <w:r>
        <w:t xml:space="preserve">honest way to get that effect is exactly what’s above: state the real</w:t>
      </w:r>
      <w:r>
        <w:t xml:space="preserve"> </w:t>
      </w:r>
      <w:r>
        <w:t xml:space="preserve">title, the real company, and the real reason it’s relevant to this</w:t>
      </w:r>
      <w:r>
        <w:t xml:space="preserve"> </w:t>
      </w:r>
      <w:r>
        <w:t xml:space="preserve">specific product (sensor/IoT domain overlap), and let that do the work.</w:t>
      </w:r>
      <w:r>
        <w:t xml:space="preserve"> </w:t>
      </w:r>
      <w:r>
        <w:t xml:space="preserve">What this section deliberately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 is invent claims — a</w:t>
      </w:r>
      <w:r>
        <w:t xml:space="preserve"> </w:t>
      </w:r>
      <w:r>
        <w:t xml:space="preserve">specific dollar figure, a formal title, an</w:t>
      </w:r>
      <w:r>
        <w:t xml:space="preserve"> </w:t>
      </w:r>
      <w:r>
        <w:t xml:space="preserve">“</w:t>
      </w:r>
      <w:r>
        <w:t xml:space="preserve">actively working with us</w:t>
      </w:r>
      <w:r>
        <w:t xml:space="preserve">”</w:t>
      </w:r>
      <w:r>
        <w:t xml:space="preserve"> </w:t>
      </w:r>
      <w:r>
        <w:t xml:space="preserve">framing — that aren’t confirmed. In a data room, a fabricated claim</w:t>
      </w:r>
      <w:r>
        <w:t xml:space="preserve"> </w:t>
      </w:r>
      <w:r>
        <w:t xml:space="preserve">about an advisor is one of the fastest ways to lose an investor’s trust</w:t>
      </w:r>
      <w:r>
        <w:t xml:space="preserve"> </w:t>
      </w:r>
      <w:r>
        <w:t xml:space="preserve">entirely, and once lost it doesn’t come back for the rest of the</w:t>
      </w:r>
      <w:r>
        <w:t xml:space="preserve"> </w:t>
      </w:r>
      <w:r>
        <w:t xml:space="preserve">raise. If there’s real color to add — something Leonardo has actually</w:t>
      </w:r>
      <w:r>
        <w:t xml:space="preserve"> </w:t>
      </w:r>
      <w:r>
        <w:t xml:space="preserve">done for AgrosTech, a specific intro he’s made, a technical review he’s</w:t>
      </w:r>
      <w:r>
        <w:t xml:space="preserve"> </w:t>
      </w:r>
      <w:r>
        <w:t xml:space="preserve">given — that’s exactly the kind of detail that makes this section land</w:t>
      </w:r>
      <w:r>
        <w:t xml:space="preserve"> </w:t>
      </w:r>
      <w:r>
        <w:t xml:space="preserve">without any embellishment. Send it and it goes in.</w:t>
      </w:r>
    </w:p>
    <w:bookmarkEnd w:id="22"/>
    <w:bookmarkStart w:id="23" w:name="whats-not-in-this-data-room-on-purpose"/>
    <w:p>
      <w:pPr>
        <w:pStyle w:val="Heading2"/>
      </w:pPr>
      <w:r>
        <w:t xml:space="preserve">What’s not in this data room, on purpose</w:t>
      </w:r>
    </w:p>
    <w:p>
      <w:pPr>
        <w:pStyle w:val="FirstParagraph"/>
      </w:pPr>
      <w:r>
        <w:t xml:space="preserve">Equity grants, vesting schedules, and formal advisor agreements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documented here for any of the four. This is a deliberate</w:t>
      </w:r>
      <w:r>
        <w:t xml:space="preserve"> </w:t>
      </w:r>
      <w:r>
        <w:t xml:space="preserve">scoping decision, not an omission — do not present these terms to</w:t>
      </w:r>
      <w:r>
        <w:t xml:space="preserve"> </w:t>
      </w:r>
      <w:r>
        <w:t xml:space="preserve">investors as settled, and do not infer a percentage from anything else</w:t>
      </w:r>
      <w:r>
        <w:t xml:space="preserve"> </w:t>
      </w:r>
      <w:r>
        <w:t xml:space="preserve">in this room, including their prominence on a slide or in this list.</w:t>
      </w:r>
    </w:p>
    <w:p>
      <w:pPr>
        <w:pStyle w:val="BodyText"/>
      </w:pPr>
      <w:r>
        <w:t xml:space="preserve">If an investor asks:</w:t>
      </w:r>
      <w:r>
        <w:t xml:space="preserve"> </w:t>
      </w:r>
      <w:r>
        <w:t xml:space="preserve">“</w:t>
      </w:r>
      <w:r>
        <w:t xml:space="preserve">advisor agreements are in progress; equity terms</w:t>
      </w:r>
      <w:r>
        <w:t xml:space="preserve"> </w:t>
      </w:r>
      <w:r>
        <w:t xml:space="preserve">will be finalized and disclosed separately.</w:t>
      </w:r>
      <w:r>
        <w:t xml:space="preserve">”</w:t>
      </w:r>
      <w:r>
        <w:t xml:space="preserve"> </w:t>
      </w:r>
      <w:r>
        <w:t xml:space="preserve">When terms are finalized,</w:t>
      </w:r>
      <w:r>
        <w:t xml:space="preserve"> </w:t>
      </w:r>
      <w:r>
        <w:t xml:space="preserve">this note should be replaced with signed agreements under</w:t>
      </w:r>
      <w:r>
        <w:t xml:space="preserve"> </w:t>
      </w:r>
      <w:r>
        <w:rPr>
          <w:rStyle w:val="VerbatimChar"/>
        </w:rPr>
        <w:t xml:space="preserve">03-company-documents/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Advisor Note v3.0 | Confidencial | 2026 | Leonardo Finziola added 2026-09-24 — relationship/engagement detail marked [CONFIRM]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2026-09-24T14:28:12Z</dcterms:created>
  <dcterms:modified xsi:type="dcterms:W3CDTF">2026-09-24T14:28:12Z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