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founders-agreement-template-checklist"/>
    <w:p>
      <w:pPr>
        <w:pStyle w:val="Heading1"/>
      </w:pPr>
      <w:r>
        <w:t xml:space="preserve">Founders’ Agreement — Template / Checklist</w:t>
      </w:r>
    </w:p>
    <w:p>
      <w:pPr>
        <w:pStyle w:val="FirstParagraph"/>
      </w:pPr>
      <w:r>
        <w:rPr>
          <w:bCs/>
          <w:b/>
        </w:rPr>
        <w:t xml:space="preserve">Status: 🔴 template only — not signed, not legal advice. Have both</w:t>
      </w:r>
      <w:r>
        <w:rPr>
          <w:bCs/>
          <w:b/>
        </w:rPr>
        <w:t xml:space="preserve"> </w:t>
      </w:r>
      <w:r>
        <w:rPr>
          <w:bCs/>
          <w:b/>
        </w:rPr>
        <w:t xml:space="preserve">Brazilian and US counsel review before execution.</w:t>
      </w:r>
    </w:p>
    <w:p>
      <w:pPr>
        <w:pStyle w:val="BodyText"/>
      </w:pPr>
      <w:r>
        <w:t xml:space="preserve">Whether this ends up as a Brazilian</w:t>
      </w:r>
      <w:r>
        <w:t xml:space="preserve"> </w:t>
      </w:r>
      <w:r>
        <w:rPr>
          <w:iCs/>
          <w:i/>
        </w:rPr>
        <w:t xml:space="preserve">acordo de sócios</w:t>
      </w:r>
      <w:r>
        <w:t xml:space="preserve"> </w:t>
      </w:r>
      <w:r>
        <w:t xml:space="preserve">or a Delaware</w:t>
      </w:r>
      <w:r>
        <w:t xml:space="preserve"> </w:t>
      </w:r>
      <w:r>
        <w:t xml:space="preserve">stockholders’ agreement depends on the outcome of</w:t>
      </w:r>
      <w:r>
        <w:t xml:space="preserve"> </w:t>
      </w:r>
      <w:r>
        <w:rPr>
          <w:rStyle w:val="VerbatimChar"/>
        </w:rPr>
        <w:t xml:space="preserve">INCORPORATION_STATUS.md</w:t>
      </w:r>
      <w:r>
        <w:t xml:space="preserve">. Either way, it needs to cover:</w:t>
      </w:r>
    </w:p>
    <w:bookmarkStart w:id="20" w:name="required-terms"/>
    <w:p>
      <w:pPr>
        <w:pStyle w:val="Heading2"/>
      </w:pPr>
      <w:r>
        <w:t xml:space="preserve">Required terms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Roles &amp; decision rights (CEO, CCO, CDO — who decides what)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split among Amgad, Diana, Lucas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Vesting schedule (see</w:t>
            </w:r>
            <w:r>
              <w:t xml:space="preserve"> </w:t>
            </w:r>
            <w:r>
              <w:rPr>
                <w:rStyle w:val="VerbatimChar"/>
              </w:rPr>
              <w:t xml:space="preserve">02-team/VESTING_AND_ESOP.md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proposed default: 4yr/1yr cliff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Leaver terms (good leaver / bad leaver, repurchase price)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Deadlock resolution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assignment (cross-reference)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05-legal/IP_ASSIGNMENT.md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Non-compete / non-solicit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 — enforceability differs Brazil vs. Delaware]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Advisor equity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Explicitly excluded from this round of documents</w:t>
            </w:r>
            <w:r>
              <w:t xml:space="preserve"> </w:t>
            </w:r>
            <w:r>
              <w:t xml:space="preserve">— see</w:t>
            </w:r>
            <w:r>
              <w:t xml:space="preserve"> </w:t>
            </w:r>
            <w:r>
              <w:rPr>
                <w:rStyle w:val="VerbatimChar"/>
              </w:rPr>
              <w:t xml:space="preserve">02-team/ADVISOR_NOTE.md</w:t>
            </w:r>
          </w:p>
        </w:tc>
      </w:tr>
    </w:tbl>
    <w:bookmarkEnd w:id="20"/>
    <w:bookmarkStart w:id="21" w:name="recommended-next-step"/>
    <w:p>
      <w:pPr>
        <w:pStyle w:val="Heading2"/>
      </w:pPr>
      <w:r>
        <w:t xml:space="preserve">Recommended next step</w:t>
      </w:r>
    </w:p>
    <w:p>
      <w:pPr>
        <w:pStyle w:val="FirstParagraph"/>
      </w:pPr>
      <w:r>
        <w:t xml:space="preserve">Do not draft this from a template alone. Once</w:t>
      </w:r>
      <w:r>
        <w:t xml:space="preserve"> </w:t>
      </w:r>
      <w:r>
        <w:rPr>
          <w:rStyle w:val="VerbatimChar"/>
        </w:rPr>
        <w:t xml:space="preserve">INCORPORATION_STATUS.md</w:t>
      </w:r>
      <w:r>
        <w:t xml:space="preserve"> </w:t>
      </w:r>
      <w:r>
        <w:t xml:space="preserve">resolves which jurisdiction governs, engage</w:t>
      </w:r>
      <w:r>
        <w:t xml:space="preserve"> </w:t>
      </w:r>
      <w:r>
        <w:t xml:space="preserve">counsel in that jurisdiction to draft the binding version. This file</w:t>
      </w:r>
      <w:r>
        <w:t xml:space="preserve"> </w:t>
      </w:r>
      <w:r>
        <w:t xml:space="preserve">exists so nothing is forgotten when that conversation happens.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Founders’ Agreement Checklist v1.0 | Confidencial | 2026 | Not legal advice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2026-09-24T14:28:13Z</dcterms:created>
  <dcterms:modified xsi:type="dcterms:W3CDTF">2026-09-24T14:28:13Z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