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ap-table"/>
    <w:p>
      <w:pPr>
        <w:pStyle w:val="Heading1"/>
      </w:pPr>
      <w:r>
        <w:t xml:space="preserve">Cap Table</w:t>
      </w:r>
    </w:p>
    <w:p>
      <w:pPr>
        <w:pStyle w:val="FirstParagraph"/>
      </w:pPr>
      <w:r>
        <w:rPr>
          <w:bCs/>
          <w:b/>
        </w:rPr>
        <w:t xml:space="preserve">Status: 🟡 mechanics and vesting are confirmed by the deck; founder equity split and pool size are still [CONFIRM] placeholders — do not share externally until confirmed.</w:t>
      </w:r>
      <w:r>
        <w:t xml:space="preserve"> </w:t>
      </w:r>
      <w:r>
        <w:t xml:space="preserve">A live version with the same formulas is in</w:t>
      </w:r>
      <w:r>
        <w:t xml:space="preserve"> </w:t>
      </w:r>
      <w:r>
        <w:rPr>
          <w:rStyle w:val="VerbatimChar"/>
        </w:rPr>
        <w:t xml:space="preserve">07-financials/FINANCIAL_MODEL.xlsx</w:t>
      </w:r>
      <w:r>
        <w:t xml:space="preserve"> </w:t>
      </w:r>
      <w:r>
        <w:t xml:space="preserve">(Cap Table tab).</w:t>
      </w:r>
    </w:p>
    <w:bookmarkStart w:id="20" w:name="X82f1f698def64363080daa24e053c8b8b0f81b8"/>
    <w:p>
      <w:pPr>
        <w:pStyle w:val="Heading2"/>
      </w:pPr>
      <w:r>
        <w:t xml:space="preserve">Mechanics (fixed by the SAFE terms — confirmed on the deck’s ask slide)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Raise:</w:t>
      </w:r>
      <w:r>
        <w:t xml:space="preserve"> </w:t>
      </w:r>
      <w:r>
        <w:t xml:space="preserve">US$ 600,000 (≈ R$ 3,000,000 at ≈R$5.00/US$1)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Post-money valuation cap:</w:t>
      </w:r>
      <w:r>
        <w:t xml:space="preserve"> </w:t>
      </w:r>
      <w:r>
        <w:t xml:space="preserve">US$ 4,000,000 (≈ R$ 20,000,000)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SAFE holders’ post-money ownership: 15.0%</w:t>
      </w:r>
      <w:r>
        <w:t xml:space="preserve"> </w:t>
      </w:r>
      <w:r>
        <w:t xml:space="preserve">— stated directly on the deck, and matches 600,000 / 4,000,000</w:t>
      </w:r>
    </w:p>
    <w:p>
      <w:pPr>
        <w:numPr>
          <w:ilvl w:val="0"/>
          <w:numId w:val="1001"/>
        </w:numPr>
        <w:pStyle w:val="Compact"/>
      </w:pPr>
      <w:r>
        <w:t xml:space="preserve">Because this is a</w:t>
      </w:r>
      <w:r>
        <w:t xml:space="preserve"> </w:t>
      </w:r>
      <w:r>
        <w:rPr>
          <w:bCs/>
          <w:b/>
        </w:rPr>
        <w:t xml:space="preserve">post-money</w:t>
      </w:r>
      <w:r>
        <w:t xml:space="preserve"> </w:t>
      </w:r>
      <w:r>
        <w:t xml:space="preserve">SAFE, the 15% is fixed regardless of</w:t>
      </w:r>
      <w:r>
        <w:t xml:space="preserve"> </w:t>
      </w:r>
      <w:r>
        <w:t xml:space="preserve">how many separate SAFEs make up the US$600K, and</w:t>
      </w:r>
      <w:r>
        <w:t xml:space="preserve"> </w:t>
      </w:r>
      <w:r>
        <w:rPr>
          <w:bCs/>
          <w:b/>
        </w:rPr>
        <w:t xml:space="preserve">any option pool</w:t>
      </w:r>
      <w:r>
        <w:rPr>
          <w:bCs/>
          <w:b/>
        </w:rPr>
        <w:t xml:space="preserve"> </w:t>
      </w:r>
      <w:r>
        <w:rPr>
          <w:bCs/>
          <w:b/>
        </w:rPr>
        <w:t xml:space="preserve">must be carved out of the founders’ remaining 85%, not the SAFE</w:t>
      </w:r>
      <w:r>
        <w:rPr>
          <w:bCs/>
          <w:b/>
        </w:rPr>
        <w:t xml:space="preserve"> </w:t>
      </w:r>
      <w:r>
        <w:rPr>
          <w:bCs/>
          <w:b/>
        </w:rPr>
        <w:t xml:space="preserve">holders’ 15%</w:t>
      </w:r>
      <w:r>
        <w:t xml:space="preserve"> </w:t>
      </w:r>
      <w:r>
        <w:t xml:space="preserve">— this is why pool sizing has to happen before signing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03-company-documents/BOARD_CONSENTS.md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Issuer:</w:t>
      </w:r>
      <w:r>
        <w:t xml:space="preserve"> </w:t>
      </w:r>
      <w:r>
        <w:t xml:space="preserve">the new Delaware holding company (owns the new Brazilian</w:t>
      </w:r>
      <w:r>
        <w:t xml:space="preserve"> </w:t>
      </w:r>
      <w:r>
        <w:t xml:space="preserve">LTDA 100%) — see</w:t>
      </w:r>
      <w:r>
        <w:t xml:space="preserve"> </w:t>
      </w:r>
      <w:r>
        <w:rPr>
          <w:rStyle w:val="VerbatimChar"/>
        </w:rPr>
        <w:t xml:space="preserve">03-company-documents/INCORPORATION_STATUS.md</w:t>
      </w:r>
      <w:r>
        <w:t xml:space="preserve">.</w:t>
      </w:r>
      <w:r>
        <w:t xml:space="preserve"> </w:t>
      </w:r>
      <w:r>
        <w:t xml:space="preserve">Founder vesting:</w:t>
      </w:r>
      <w:r>
        <w:t xml:space="preserve"> </w:t>
      </w:r>
      <w:r>
        <w:rPr>
          <w:bCs/>
          <w:b/>
        </w:rPr>
        <w:t xml:space="preserve">4 years, 1-year cliff</w:t>
      </w:r>
      <w:r>
        <w:t xml:space="preserve"> </w:t>
      </w:r>
      <w:r>
        <w:t xml:space="preserve">(confirmed).</w:t>
      </w:r>
    </w:p>
    <w:bookmarkEnd w:id="20"/>
    <w:bookmarkStart w:id="21" w:name="today-before-the-safe-fully-diluted"/>
    <w:p>
      <w:pPr>
        <w:pStyle w:val="Heading2"/>
      </w:pPr>
      <w:r>
        <w:t xml:space="preserve">Today — before the SAFE (fully diluted)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Shares/Units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Fully Diluted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Amgad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Diana Dutra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Lucas Costa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 pool (unallocated)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pPr>
        <w:pStyle w:val="BodyText"/>
      </w:pPr>
      <w:r>
        <w:rPr>
          <w:iCs/>
          <w:i/>
        </w:rPr>
        <w:t xml:space="preserve">Illustrative placeholder split (equal thirds, no pool) shown only so the</w:t>
      </w:r>
      <w:r>
        <w:rPr>
          <w:iCs/>
          <w:i/>
        </w:rPr>
        <w:t xml:space="preserve"> </w:t>
      </w:r>
      <w:r>
        <w:rPr>
          <w:iCs/>
          <w:i/>
        </w:rPr>
        <w:t xml:space="preserve">math below has something to compute against — replace with the real</w:t>
      </w:r>
      <w:r>
        <w:rPr>
          <w:iCs/>
          <w:i/>
        </w:rPr>
        <w:t xml:space="preserve"> </w:t>
      </w:r>
      <w:r>
        <w:rPr>
          <w:iCs/>
          <w:i/>
        </w:rPr>
        <w:t xml:space="preserve">split before this leaves internal use: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(illustrative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Amgad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Diana Dutra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Lucas Costa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33.34%</w:t>
            </w:r>
          </w:p>
        </w:tc>
      </w:tr>
    </w:tbl>
    <w:bookmarkEnd w:id="21"/>
    <w:bookmarkStart w:id="22" w:name="Xb54d5a57c623e54a2e671a084dec930c77ed6f8"/>
    <w:p>
      <w:pPr>
        <w:pStyle w:val="Heading2"/>
      </w:pPr>
      <w:r>
        <w:t xml:space="preserve">After the SAFE + option pool (post-money, illustrative)</w:t>
      </w:r>
    </w:p>
    <w:p>
      <w:pPr>
        <w:pStyle w:val="FirstParagraph"/>
      </w:pPr>
      <w:r>
        <w:t xml:space="preserve">Assuming a 10% option pool carved out pre-SAFE [CONFIRM actual pool %]: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Post-SAFE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 holders (as a class)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Amgad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25.00% (33.33% × 75%)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Diana Dutra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Lucas Costa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pPr>
        <w:pStyle w:val="BodyText"/>
      </w:pPr>
      <w:r>
        <w:rPr>
          <w:iCs/>
          <w:i/>
        </w:rPr>
        <w:t xml:space="preserve">Formula: founders’ and pool’s pre-SAFE percentages are each scaled by</w:t>
      </w:r>
      <w:r>
        <w:rPr>
          <w:iCs/>
          <w:i/>
        </w:rPr>
        <w:t xml:space="preserve"> </w:t>
      </w:r>
      <w:r>
        <w:rPr>
          <w:iCs/>
          <w:i/>
        </w:rPr>
        <w:t xml:space="preserve">(1 − 15%) = 85%, since the SAFE’s 15% comes entirely out of the</w:t>
      </w:r>
      <w:r>
        <w:rPr>
          <w:iCs/>
          <w:i/>
        </w:rPr>
        <w:t xml:space="preserve"> </w:t>
      </w:r>
      <w:r>
        <w:rPr>
          <w:iCs/>
          <w:i/>
        </w:rPr>
        <w:t xml:space="preserve">non-SAFE 85% as a post-money instrument.</w:t>
      </w:r>
    </w:p>
    <w:bookmarkEnd w:id="22"/>
    <w:bookmarkStart w:id="23" w:name="X0c7f26ae4ddf8eab8256be6b861dba0acded07a"/>
    <w:p>
      <w:pPr>
        <w:pStyle w:val="Heading2"/>
      </w:pPr>
      <w:r>
        <w:t xml:space="preserve">Series A pro forma (placeholder — for illustration of dilution mechanics only)</w:t>
      </w:r>
    </w:p>
    <w:p>
      <w:pPr>
        <w:pStyle w:val="FirstParagraph"/>
      </w:pPr>
      <w:r>
        <w:t xml:space="preserve">[CONFIRM — model a hypothetical Series A size/valuation once the founder</w:t>
      </w:r>
      <w:r>
        <w:t xml:space="preserve"> </w:t>
      </w:r>
      <w:r>
        <w:t xml:space="preserve">has a target in mind; the financial model’s Cap Table tab has a</w:t>
      </w:r>
      <w:r>
        <w:t xml:space="preserve"> </w:t>
      </w:r>
      <w:r>
        <w:t xml:space="preserve">parameterized version that recalculates this automatically.]</w:t>
      </w:r>
    </w:p>
    <w:bookmarkEnd w:id="23"/>
    <w:bookmarkStart w:id="24" w:name="prior-rounds"/>
    <w:p>
      <w:pPr>
        <w:pStyle w:val="Heading2"/>
      </w:pPr>
      <w:r>
        <w:t xml:space="preserve">Prior rounds</w:t>
      </w:r>
    </w:p>
    <w:p>
      <w:pPr>
        <w:pStyle w:val="FirstParagraph"/>
      </w:pPr>
      <w:r>
        <w:t xml:space="preserve">None. AgrosTech has not raised prior institutional or SAFE capital. This</w:t>
      </w:r>
      <w:r>
        <w:t xml:space="preserve"> </w:t>
      </w:r>
      <w:r>
        <w:t xml:space="preserve">is the company’s first fundraise. (See</w:t>
      </w:r>
      <w:r>
        <w:t xml:space="preserve"> </w:t>
      </w:r>
      <w:r>
        <w:rPr>
          <w:rStyle w:val="VerbatimChar"/>
        </w:rPr>
        <w:t xml:space="preserve">04-investment-documents/PRIOR_ROUNDS.md</w:t>
      </w:r>
      <w:r>
        <w:t xml:space="preserve">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Cap Table v2.0 | Confidencial | 2026 | Reconciled against the founder’s pitch deck (2026-09-24) | Illustrative until [CONFIRM] fields are replaced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2026-09-24T14:28:13Z</dcterms:created>
  <dcterms:modified xsi:type="dcterms:W3CDTF">2026-09-24T14:28:13Z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