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surance"/>
    <w:p>
      <w:pPr>
        <w:pStyle w:val="Heading1"/>
      </w:pPr>
      <w:r>
        <w:t xml:space="preserve">Insurance</w:t>
      </w:r>
    </w:p>
    <w:p>
      <w:pPr>
        <w:pStyle w:val="FirstParagraph"/>
      </w:pPr>
      <w:r>
        <w:rPr>
          <w:bCs/>
          <w:b/>
        </w:rPr>
        <w:t xml:space="preserve">Status: 🔴 [CONFIRM] actual policy status with founder.</w:t>
      </w:r>
    </w:p>
    <w:p>
      <w:pPr>
        <w:pStyle w:val="BodyText"/>
      </w:pPr>
      <w:r>
        <w:t xml:space="preserve">Per</w:t>
      </w:r>
      <w:r>
        <w:t xml:space="preserve"> </w:t>
      </w:r>
      <w:r>
        <w:rPr>
          <w:rStyle w:val="VerbatimChar"/>
        </w:rPr>
        <w:t xml:space="preserve">knowledge-base/DRONE_REGULATIONS.md</w:t>
      </w:r>
      <w:r>
        <w:t xml:space="preserve"> </w:t>
      </w:r>
      <w:r>
        <w:t xml:space="preserve">§5, none of these are legally</w:t>
      </w:r>
      <w:r>
        <w:t xml:space="preserve"> </w:t>
      </w:r>
      <w:r>
        <w:t xml:space="preserve">mandatory in Brazil, but RPAS liability is routinely required by</w:t>
      </w:r>
      <w:r>
        <w:t xml:space="preserve"> </w:t>
      </w:r>
      <w:r>
        <w:t xml:space="preserve">corporate clients’ contracts.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by law?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RPAS third-party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No, but commonly contract-required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Drone hull/equipment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commercial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</w:tr>
    </w:tbl>
    <w:p>
      <w:pPr>
        <w:pStyle w:val="BodyText"/>
      </w:pPr>
      <w:r>
        <w:t xml:space="preserve">Reference carriers offering RPAS-specific products: Tokio Marine, HDI,</w:t>
      </w:r>
      <w:r>
        <w:t xml:space="preserve"> </w:t>
      </w:r>
      <w:r>
        <w:t xml:space="preserve">Allianz.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Insurance v1.0 | Confidencial | 2026 | Not legal or insurance advice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2026-09-24T14:28:13Z</dcterms:created>
  <dcterms:modified xsi:type="dcterms:W3CDTF">2026-09-24T14:28:13Z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