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da-template-note"/>
    <w:p>
      <w:pPr>
        <w:pStyle w:val="Heading1"/>
      </w:pPr>
      <w:r>
        <w:t xml:space="preserve">NDA Template — Note</w:t>
      </w:r>
    </w:p>
    <w:p>
      <w:pPr>
        <w:pStyle w:val="FirstParagraph"/>
      </w:pPr>
      <w:r>
        <w:rPr>
          <w:bCs/>
          <w:b/>
        </w:rPr>
        <w:t xml:space="preserve">Status: ✅ policy is clear, template itself is [CONFIRM]/not attached.</w:t>
      </w:r>
    </w:p>
    <w:p>
      <w:pPr>
        <w:pStyle w:val="BodyText"/>
      </w:pPr>
      <w:r>
        <w:t xml:space="preserve">Mutual NDA for clients and partners (e.g., channel-partner conversations</w:t>
      </w:r>
      <w:r>
        <w:t xml:space="preserve"> </w:t>
      </w:r>
      <w:r>
        <w:t xml:space="preserve">like the AvAg operator/pilot outreach documented elsewhere in this repo).</w:t>
      </w:r>
    </w:p>
    <w:p>
      <w:pPr>
        <w:pStyle w:val="BodyText"/>
      </w:pPr>
      <w:r>
        <w:rPr>
          <w:bCs/>
          <w:b/>
        </w:rPr>
        <w:t xml:space="preserve">Important, per the checklist:</w:t>
      </w:r>
      <w:r>
        <w:t xml:space="preserve"> </w:t>
      </w:r>
      <w:r>
        <w:t xml:space="preserve">VC funds usually won’t sign one — don’t</w:t>
      </w:r>
      <w:r>
        <w:t xml:space="preserve"> </w:t>
      </w:r>
      <w:r>
        <w:t xml:space="preserve">send it to them. This is for commercial counterparties (clients,</w:t>
      </w:r>
      <w:r>
        <w:t xml:space="preserve"> </w:t>
      </w:r>
      <w:r>
        <w:t xml:space="preserve">prospective channel partners, data-sharing partners), not investors.</w:t>
      </w:r>
    </w:p>
    <w:bookmarkStart w:id="20" w:name="what-it-should-cover"/>
    <w:p>
      <w:pPr>
        <w:pStyle w:val="Heading2"/>
      </w:pPr>
      <w:r>
        <w:t xml:space="preserve">What it should cover</w:t>
      </w:r>
    </w:p>
    <w:p>
      <w:pPr>
        <w:numPr>
          <w:ilvl w:val="0"/>
          <w:numId w:val="1001"/>
        </w:numPr>
        <w:pStyle w:val="Compact"/>
      </w:pPr>
      <w:r>
        <w:t xml:space="preserve">Confidentiality of any data shared during evaluation (e.g., a</w:t>
      </w:r>
      <w:r>
        <w:t xml:space="preserve"> </w:t>
      </w:r>
      <w:r>
        <w:t xml:space="preserve">prospect’s farm data used to build a demo Passaporte).</w:t>
      </w:r>
    </w:p>
    <w:p>
      <w:pPr>
        <w:numPr>
          <w:ilvl w:val="0"/>
          <w:numId w:val="1001"/>
        </w:numPr>
        <w:pStyle w:val="Compact"/>
      </w:pPr>
      <w:r>
        <w:t xml:space="preserve">Mutual obligations if a channel-partner conversation (operator/pilot</w:t>
      </w:r>
      <w:r>
        <w:t xml:space="preserve"> </w:t>
      </w:r>
      <w:r>
        <w:t xml:space="preserve">white-label arrangement) doesn’t convert.</w:t>
      </w:r>
    </w:p>
    <w:p>
      <w:pPr>
        <w:numPr>
          <w:ilvl w:val="0"/>
          <w:numId w:val="1001"/>
        </w:numPr>
        <w:pStyle w:val="Compact"/>
      </w:pPr>
      <w:r>
        <w:t xml:space="preserve">Standard term (1–2 years) and carve-outs (publicly available info,</w:t>
      </w:r>
      <w:r>
        <w:t xml:space="preserve"> </w:t>
      </w:r>
      <w:r>
        <w:t xml:space="preserve">independently developed info).</w:t>
      </w:r>
    </w:p>
    <w:p>
      <w:pPr>
        <w:pStyle w:val="FirstParagraph"/>
      </w:pPr>
      <w:r>
        <w:t xml:space="preserve">[CONFIRM — attach the actual template file once drafted by counsel.]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NDA Note v1.0 | Confidencial | 2026 | Not legal advice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2026-09-24T14:28:13Z</dcterms:created>
  <dcterms:modified xsi:type="dcterms:W3CDTF">2026-09-24T14:28:13Z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