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ales-pipeline"/>
    <w:p>
      <w:pPr>
        <w:pStyle w:val="Heading1"/>
      </w:pPr>
      <w:r>
        <w:t xml:space="preserve">Sales Pipeline</w:t>
      </w:r>
    </w:p>
    <w:p>
      <w:pPr>
        <w:pStyle w:val="FirstParagraph"/>
      </w:pPr>
      <w:r>
        <w:rPr>
          <w:bCs/>
          <w:b/>
        </w:rPr>
        <w:t xml:space="preserve">Status: 🟡 named accounts confirmed by founder (2026-09-24) and the</w:t>
      </w:r>
      <w:r>
        <w:rPr>
          <w:bCs/>
          <w:b/>
        </w:rPr>
        <w:t xml:space="preserve"> </w:t>
      </w:r>
      <w:r>
        <w:rPr>
          <w:bCs/>
          <w:b/>
        </w:rPr>
        <w:t xml:space="preserve">pitch deck’s traction slide; the two sources don’t fully align on</w:t>
      </w:r>
      <w:r>
        <w:rPr>
          <w:bCs/>
          <w:b/>
        </w:rPr>
        <w:t xml:space="preserve"> </w:t>
      </w:r>
      <w:r>
        <w:rPr>
          <w:bCs/>
          <w:b/>
        </w:rPr>
        <w:t xml:space="preserve">hectares (30,000 vs. 35,000) — reconciled below. Stage/R$/timing detail</w:t>
      </w:r>
      <w:r>
        <w:rPr>
          <w:bCs/>
          <w:b/>
        </w:rPr>
        <w:t xml:space="preserve"> </w:t>
      </w:r>
      <w:r>
        <w:rPr>
          <w:bCs/>
          <w:b/>
        </w:rPr>
        <w:t xml:space="preserve">still [CONFIRM].</w:t>
      </w:r>
    </w:p>
    <w:bookmarkStart w:id="20" w:name="X22e9bba0226f1c7437e71d7695ed01ae402a7cf"/>
    <w:p>
      <w:pPr>
        <w:pStyle w:val="Heading2"/>
      </w:pPr>
      <w:r>
        <w:t xml:space="preserve">Reconciling the founder’s verbal figure with the deck’s slide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Founder, verbally:</w:t>
      </w:r>
      <w:r>
        <w:t xml:space="preserve"> </w:t>
      </w:r>
      <w:r>
        <w:t xml:space="preserve">“</w:t>
      </w:r>
      <w:r>
        <w:t xml:space="preserve">Thales, who is a consultant of thirty thousand</w:t>
      </w:r>
      <w:r>
        <w:t xml:space="preserve"> </w:t>
      </w:r>
      <w:r>
        <w:t xml:space="preserve">hectares of cacao, in Bahia.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Deck’s traction slide:</w:t>
      </w:r>
      <w:r>
        <w:t xml:space="preserve"> </w:t>
      </w:r>
      <w:r>
        <w:t xml:space="preserve">“</w:t>
      </w:r>
      <w:r>
        <w:t xml:space="preserve">35 mil hectares prospectados… Consultor</w:t>
      </w:r>
      <w:r>
        <w:t xml:space="preserve"> </w:t>
      </w:r>
      <w:r>
        <w:t xml:space="preserve">com 200+ produtores de cacau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gestor de barter de trading global</w:t>
      </w:r>
      <w:r>
        <w:t xml:space="preserve"> </w:t>
      </w:r>
      <w:r>
        <w:t xml:space="preserve">já no pipeline.</w:t>
      </w:r>
      <w:r>
        <w:t xml:space="preserve">”</w:t>
      </w:r>
    </w:p>
    <w:p>
      <w:pPr>
        <w:pStyle w:val="FirstParagraph"/>
      </w:pPr>
      <w:r>
        <w:t xml:space="preserve">Reading these together: the deck’s 35,000 ha figure appears to be the</w:t>
      </w:r>
      <w:r>
        <w:t xml:space="preserve"> </w:t>
      </w:r>
      <w:r>
        <w:rPr>
          <w:bCs/>
          <w:b/>
        </w:rPr>
        <w:t xml:space="preserve">combined</w:t>
      </w:r>
      <w:r>
        <w:t xml:space="preserve"> </w:t>
      </w:r>
      <w:r>
        <w:t xml:space="preserve">total across two separate pipeline relationships — (1) the</w:t>
      </w:r>
      <w:r>
        <w:t xml:space="preserve"> </w:t>
      </w:r>
      <w:r>
        <w:t xml:space="preserve">cacao consultant (almost certainly Thales, ~30,000 ha, Bahia, 200+</w:t>
      </w:r>
      <w:r>
        <w:t xml:space="preserve"> </w:t>
      </w:r>
      <w:r>
        <w:t xml:space="preserve">producers) and (2) a</w:t>
      </w:r>
      <w:r>
        <w:t xml:space="preserve"> </w:t>
      </w:r>
      <w:r>
        <w:rPr>
          <w:bCs/>
          <w:b/>
        </w:rPr>
        <w:t xml:space="preserve">second, previously unnamed contact</w:t>
      </w:r>
      <w:r>
        <w:t xml:space="preserve"> </w:t>
      </w:r>
      <w:r>
        <w:t xml:space="preserve">— a global</w:t>
      </w:r>
      <w:r>
        <w:t xml:space="preserve"> </w:t>
      </w:r>
      <w:r>
        <w:t xml:space="preserve">trading/barter manager (</w:t>
      </w:r>
      <w:r>
        <w:t xml:space="preserve">“</w:t>
      </w:r>
      <w:r>
        <w:t xml:space="preserve">gestor de barter de trading global</w:t>
      </w:r>
      <w:r>
        <w:t xml:space="preserve">”</w:t>
      </w:r>
      <w:r>
        <w:t xml:space="preserve">). The</w:t>
      </w:r>
      <w:r>
        <w:t xml:space="preserve"> </w:t>
      </w:r>
      <w:r>
        <w:t xml:space="preserve">~5,000 ha gap between the founder’s Thales-only figure and the deck’s</w:t>
      </w:r>
      <w:r>
        <w:t xml:space="preserve"> </w:t>
      </w:r>
      <w:r>
        <w:t xml:space="preserve">combined figure is consistent with this reading.</w:t>
      </w:r>
      <w:r>
        <w:t xml:space="preserve"> </w:t>
      </w:r>
      <w:r>
        <w:rPr>
          <w:bCs/>
          <w:b/>
        </w:rPr>
        <w:t xml:space="preserve">[CONFIRM with the founder]</w:t>
      </w:r>
      <w:r>
        <w:t xml:space="preserve"> </w:t>
      </w:r>
      <w:r>
        <w:t xml:space="preserve">which split is correct before quoting</w:t>
      </w:r>
      <w:r>
        <w:t xml:space="preserve"> </w:t>
      </w:r>
      <w:r>
        <w:t xml:space="preserve">either number in isolation.</w:t>
      </w:r>
    </w:p>
    <w:bookmarkEnd w:id="20"/>
    <w:bookmarkStart w:id="21" w:name="named-pipeline"/>
    <w:p>
      <w:pPr>
        <w:pStyle w:val="Heading2"/>
      </w:pPr>
      <w:r>
        <w:t xml:space="preserve">Named pipeline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Contact/type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Hectares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cacao consultant, Bahia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~30,000 ha, 200+ cacao producers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US$0.80/ha/year: ~US$24,000/year if fully converted at the base subscription rate 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single named relationship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[Global trading/barter manager]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named in this data room — appears in the deck’s traction slide as a second pipeline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Contributes to the deck’s 35,000 ha combined 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 name/contact with founder]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Coplacana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 (named by founder, not on the current deck slide)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 named this separately from the deck’s pipeline slide — confirm it’s additive, not already counted in the 35,000 ha</w:t>
            </w:r>
          </w:p>
        </w:tc>
      </w:tr>
    </w:tbl>
    <w:bookmarkEnd w:id="21"/>
    <w:bookmarkStart w:id="22" w:name="Xc8ef389107aa4d2300fd324f935398804cc16d4"/>
    <w:p>
      <w:pPr>
        <w:pStyle w:val="Heading2"/>
      </w:pPr>
      <w:r>
        <w:t xml:space="preserve">Illustrative math on the Thales opportunity</w:t>
      </w:r>
    </w:p>
    <w:p>
      <w:pPr>
        <w:pStyle w:val="FirstParagraph"/>
      </w:pPr>
      <w:r>
        <w:t xml:space="preserve">30,000 ha × US$0.80/ha/year =</w:t>
      </w:r>
      <w:r>
        <w:t xml:space="preserve"> </w:t>
      </w:r>
      <w:r>
        <w:rPr>
          <w:bCs/>
          <w:b/>
        </w:rPr>
        <w:t xml:space="preserve">US$ 24,000/year</w:t>
      </w:r>
      <w:r>
        <w:t xml:space="preserve"> </w:t>
      </w:r>
      <w:r>
        <w:t xml:space="preserve">(≈ R$ 120,000/year) in</w:t>
      </w:r>
      <w:r>
        <w:t xml:space="preserve"> </w:t>
      </w:r>
      <w:r>
        <w:t xml:space="preserve">subscription revenue if 100% of that area converts and stays at the base</w:t>
      </w:r>
      <w:r>
        <w:t xml:space="preserve"> </w:t>
      </w:r>
      <w:r>
        <w:t xml:space="preserve">subscription rate alone (excludes one-off survey revenue). This remains</w:t>
      </w:r>
      <w:r>
        <w:t xml:space="preserve"> </w:t>
      </w:r>
      <w:r>
        <w:t xml:space="preserve">the single largest number in the pipeline and is modeled explicitly in</w:t>
      </w:r>
      <w:r>
        <w:t xml:space="preserve"> </w:t>
      </w:r>
      <w:r>
        <w:rPr>
          <w:rStyle w:val="VerbatimChar"/>
        </w:rPr>
        <w:t xml:space="preserve">07-financials/FINANCIAL_MODEL.xlsx</w:t>
      </w:r>
      <w:r>
        <w:t xml:space="preserve"> </w:t>
      </w:r>
      <w:r>
        <w:t xml:space="preserve">(Pipeline tab).</w:t>
      </w:r>
    </w:p>
    <w:p>
      <w:pPr>
        <w:pStyle w:val="BodyText"/>
      </w:pPr>
      <w:r>
        <w:rPr>
          <w:bCs/>
          <w:b/>
        </w:rPr>
        <w:t xml:space="preserve">Caution (unchanged):</w:t>
      </w:r>
      <w:r>
        <w:t xml:space="preserve"> </w:t>
      </w:r>
      <w:r>
        <w:t xml:space="preserve">Thales is a consultant relationship, not a</w:t>
      </w:r>
      <w:r>
        <w:t xml:space="preserve"> </w:t>
      </w:r>
      <w:r>
        <w:t xml:space="preserve">direct producer relationship — [CONFIRM] whether he’s the decision-maker</w:t>
      </w:r>
      <w:r>
        <w:t xml:space="preserve"> </w:t>
      </w:r>
      <w:r>
        <w:t xml:space="preserve">for that ~30,000 ha or an introducer/channel to the actual landowners,</w:t>
      </w:r>
      <w:r>
        <w:t xml:space="preserve"> </w:t>
      </w:r>
      <w:r>
        <w:t xml:space="preserve">since that materially changes both conversion probability and sales</w:t>
      </w:r>
      <w:r>
        <w:t xml:space="preserve"> </w:t>
      </w:r>
      <w:r>
        <w:t xml:space="preserve">motion.</w:t>
      </w:r>
    </w:p>
    <w:bookmarkEnd w:id="22"/>
    <w:bookmarkStart w:id="23" w:name="X6ed8e74001ef8e46b29f1f7ca4ef1fa373b968e"/>
    <w:p>
      <w:pPr>
        <w:pStyle w:val="Heading2"/>
      </w:pPr>
      <w:r>
        <w:t xml:space="preserve">Why this connects to the deck’s base-case scenario</w:t>
      </w:r>
    </w:p>
    <w:p>
      <w:pPr>
        <w:pStyle w:val="FirstParagraph"/>
      </w:pPr>
      <w:r>
        <w:t xml:space="preserve">The financial model’s official Base scenario (from the deck’s own</w:t>
      </w:r>
      <w:r>
        <w:t xml:space="preserve"> </w:t>
      </w:r>
      <w:r>
        <w:t xml:space="preserve">“</w:t>
      </w:r>
      <w:r>
        <w:t xml:space="preserve">Receita projetada em três cenários</w:t>
      </w:r>
      <w:r>
        <w:t xml:space="preserve">”</w:t>
      </w:r>
      <w:r>
        <w:t xml:space="preserve"> </w:t>
      </w:r>
      <w:r>
        <w:t xml:space="preserve">slide) assumes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~8 cooperativas</w:t>
      </w:r>
      <w:r>
        <w:rPr>
          <w:bCs/>
          <w:b/>
        </w:rPr>
        <w:t xml:space="preserve"> </w:t>
      </w:r>
      <w:r>
        <w:rPr>
          <w:bCs/>
          <w:b/>
        </w:rPr>
        <w:t xml:space="preserve">em 2028.</w:t>
      </w:r>
      <w:r>
        <w:rPr>
          <w:bCs/>
          <w:b/>
        </w:rPr>
        <w:t xml:space="preserve">”</w:t>
      </w:r>
      <w:r>
        <w:t xml:space="preserve"> </w:t>
      </w:r>
      <w:r>
        <w:t xml:space="preserve">The named pipeline above — one large consultant relationship</w:t>
      </w:r>
      <w:r>
        <w:t xml:space="preserve"> </w:t>
      </w:r>
      <w:r>
        <w:t xml:space="preserve">plus a cooperative (Coplacana) — is exactly the shape of account this</w:t>
      </w:r>
      <w:r>
        <w:t xml:space="preserve"> </w:t>
      </w:r>
      <w:r>
        <w:t xml:space="preserve">assumption depends on. Converting even a handful of Thales-or-Coplacana-</w:t>
      </w:r>
      <w:r>
        <w:t xml:space="preserve"> </w:t>
      </w:r>
      <w:r>
        <w:t xml:space="preserve">sized relationships gets to that ~8-account base case; this pipeline</w:t>
      </w:r>
      <w:r>
        <w:t xml:space="preserve"> </w:t>
      </w:r>
      <w:r>
        <w:t xml:space="preserve">table is the evidence trail for that assumption, not just a wishlist.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Sales Pipeline v2.0 | Confidencial | 2026 | Reconciled against the founder’s pitch deck (2026-09-24)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2026-09-24T14:28:14Z</dcterms:created>
  <dcterms:modified xsi:type="dcterms:W3CDTF">2026-09-24T14:28:14Z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