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ypotheses"/>
    <w:p>
      <w:pPr>
        <w:pStyle w:val="Heading1"/>
      </w:pPr>
      <w:r>
        <w:t xml:space="preserve">Hypotheses</w:t>
      </w:r>
    </w:p>
    <w:p>
      <w:pPr>
        <w:pStyle w:val="FirstParagraph"/>
      </w:pPr>
      <w:r>
        <w:rPr>
          <w:bCs/>
          <w:b/>
        </w:rPr>
        <w:t xml:space="preserve">Status: 🟡 structure and logic are sound; specific values are placeholders — see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Hypotheses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FINANCIAL_MODEL.xlsx</w:t>
      </w:r>
      <w:r>
        <w:rPr>
          <w:bCs/>
          <w:b/>
        </w:rPr>
        <w:t xml:space="preserve"> </w:t>
      </w:r>
      <w:r>
        <w:rPr>
          <w:bCs/>
          <w:b/>
        </w:rPr>
        <w:t xml:space="preserve">for the full table with base/bull/bear values and confidence ratings.</w:t>
      </w:r>
    </w:p>
    <w:p>
      <w:pPr>
        <w:pStyle w:val="BodyText"/>
      </w:pPr>
      <w:r>
        <w:t xml:space="preserve">Every number in the financial model traces back to one of 10 named</w:t>
      </w:r>
      <w:r>
        <w:t xml:space="preserve"> </w:t>
      </w:r>
      <w:r>
        <w:t xml:space="preserve">hypotheses (pricing, survey fee, hectare-growth ramp, pipeline</w:t>
      </w:r>
      <w:r>
        <w:t xml:space="preserve"> </w:t>
      </w:r>
      <w:r>
        <w:t xml:space="preserve">conversion for Coplacana and Thales specifically, gross margins, churn,</w:t>
      </w:r>
      <w:r>
        <w:t xml:space="preserve"> </w:t>
      </w:r>
      <w:r>
        <w:t xml:space="preserve">and hiring timing). They’re kept in the spreadsheet rather than</w:t>
      </w:r>
      <w:r>
        <w:t xml:space="preserve"> </w:t>
      </w:r>
      <w:r>
        <w:t xml:space="preserve">duplicated here so the model and the documentation can’t drift apart —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FINANCIAL_MODEL.xlsx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Hypotheses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Cs/>
          <w:b/>
        </w:rPr>
        <w:t xml:space="preserve">The honest state of these hypotheses today:</w:t>
      </w:r>
      <w:r>
        <w:t xml:space="preserve"> </w:t>
      </w:r>
      <w:r>
        <w:t xml:space="preserve">most are marked</w:t>
      </w:r>
      <w:r>
        <w:t xml:space="preserve"> </w:t>
      </w:r>
      <w:r>
        <w:t xml:space="preserve">“</w:t>
      </w:r>
      <w:r>
        <w:t xml:space="preserve">Low</w:t>
      </w:r>
      <w:r>
        <w:t xml:space="preserve"> </w:t>
      </w:r>
      <w:r>
        <w:t xml:space="preserve">confidence — placeholder</w:t>
      </w:r>
      <w:r>
        <w:t xml:space="preserve">”</w:t>
      </w:r>
      <w:r>
        <w:t xml:space="preserve"> </w:t>
      </w:r>
      <w:r>
        <w:t xml:space="preserve">because AgrosTech doesn’t yet have a</w:t>
      </w:r>
      <w:r>
        <w:t xml:space="preserve"> </w:t>
      </w:r>
      <w:r>
        <w:t xml:space="preserve">subscription cohort old enough to measure churn, a paid-acquisition</w:t>
      </w:r>
      <w:r>
        <w:t xml:space="preserve"> </w:t>
      </w:r>
      <w:r>
        <w:t xml:space="preserve">channel to measure CAC, or confirmed survey-services pricing under the</w:t>
      </w:r>
      <w:r>
        <w:t xml:space="preserve"> </w:t>
      </w:r>
      <w:r>
        <w:t xml:space="preserve">current business model. That’s not a flaw to hide — it’s exactly what</w:t>
      </w:r>
      <w:r>
        <w:t xml:space="preserve"> </w:t>
      </w:r>
      <w:r>
        <w:t xml:space="preserve">“</w:t>
      </w:r>
      <w:r>
        <w:t xml:space="preserve">hypotheses… written out so they can be challenged</w:t>
      </w:r>
      <w:r>
        <w:t xml:space="preserve">”</w:t>
      </w:r>
      <w:r>
        <w:t xml:space="preserve"> </w:t>
      </w:r>
      <w:r>
        <w:t xml:space="preserve">is for. The two</w:t>
      </w:r>
      <w:r>
        <w:t xml:space="preserve"> </w:t>
      </w:r>
      <w:r>
        <w:t xml:space="preserve">highest-confidence rows are the ones the founder has actually confirmed:</w:t>
      </w:r>
      <w:r>
        <w:t xml:space="preserve"> </w:t>
      </w:r>
      <w:r>
        <w:t xml:space="preserve">the R$4/ha/year price point and the named pipeline accounts (Coplacana,</w:t>
      </w:r>
      <w:r>
        <w:t xml:space="preserve"> </w:t>
      </w:r>
      <w:r>
        <w:t xml:space="preserve">Thales’ 30,000 ha in Bahia).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Hypotheses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2026-09-24T14:28:14Z</dcterms:created>
  <dcterms:modified xsi:type="dcterms:W3CDTF">2026-09-24T14:28:14Z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