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AgrosTech — 3-Year Hiring Plan (FY2027–FY2029)</w:t>
      </w: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Data Room · People &amp; Organization · Draft v2 · September 2026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 of numbers:</w:t>
      </w:r>
      <w:r>
        <w:rPr>
          <w:rFonts w:ascii="Calibri" w:cs="Calibri" w:eastAsia="Calibri" w:hAnsi="Calibri"/>
        </w:rPr>
        <w:t xml:space="preserve"> headcount, cost, and trigger figures below are
planning assumptions, not audited actuals. Cost figures are fully-loaded
in the raise's actual currency (US$, per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04-investment-documents/SAFE_TERMS.md</w:t>
      </w:r>
      <w:r>
        <w:rPr>
          <w:rFonts w:ascii="Calibri" w:cs="Calibri" w:eastAsia="Calibri" w:hAnsi="Calibri"/>
        </w:rPr>
        <w:t xml:space="preserve">),
with R$ shown for context at ≈R$5.00/US$1. </w:t>
      </w:r>
      <w:r>
        <w:rPr>
          <w:rFonts w:ascii="Calibri" w:cs="Calibri" w:eastAsia="Calibri" w:hAnsi="Calibri"/>
          <w:b/>
          <w:bCs/>
        </w:rPr>
        <w:t xml:space="preserve">This plan is deliberately
sized against the US$600,000 confirmed in this round — not against the
headcount ambitions of a funded agtech scale-up.</w:t>
      </w:r>
      <w:r>
        <w:rPr>
          <w:rFonts w:ascii="Calibri" w:cs="Calibri" w:eastAsia="Calibri" w:hAnsi="Calibri"/>
        </w:rPr>
        <w:t xml:space="preserve"> Where the logic below
borrows structure from a larger company's playbook, the scale has been
rebuilt from AgrosTech's own numbers, not imported.</w:t>
      </w: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0. A note from the CEO</w:t>
      </w:r>
    </w:p>
    <w:p>
      <w:pPr>
        <w:spacing w:after="120"/>
      </w:pPr>
      <w:r>
        <w:rPr>
          <w:rFonts w:ascii="Calibri" w:cs="Calibri" w:eastAsia="Calibri" w:hAnsi="Calibri"/>
        </w:rPr>
        <w:t xml:space="preserve">Written the way I wish someone had written it for me.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When you're three people and US$600,000, the temptation is to hire for
the company you want to be. The discipline that gets you to Series A is
the opposite: hire for the next constraint, and never before it. Every
role in this plan exists because a specific bottleneck will appear in a
specific quarter, and the person is there one quarter earlier — not
because a bigger company's org chart says the role should exist.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Three beliefs shape everything below: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Hire where humans are irreplaceable, automate everywhere else.</w:t>
      </w:r>
      <w:r>
        <w:rPr>
          <w:rFonts w:ascii="Calibri" w:cs="Calibri" w:eastAsia="Calibri" w:hAnsi="Calibri"/>
        </w:rPr>
        <w:t xml:space="preserve">
A pilot on a farm at dawn, an agronomist defending a number to a
bank's credit desk, a sales conversation that only closes because
someone earned trust in person: these are human. Everything else
this company already runs on an internal AI-agent operating layer
(see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02-team/ORG_DESIGN.md</w:t>
      </w:r>
      <w:r>
        <w:rPr>
          <w:rFonts w:ascii="Calibri" w:cs="Calibri" w:eastAsia="Calibri" w:hAnsi="Calibri"/>
        </w:rPr>
        <w:t xml:space="preserve">) — strategy support, marketing content,
Deal Desk quoting, finance operations. That's not a future plan,
it's already running with three people. It's why this plan can stay
this lean and still function.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Our thesis is a hiring thesis.</w:t>
      </w:r>
      <w:r>
        <w:rPr>
          <w:rFonts w:ascii="Calibri" w:cs="Calibri" w:eastAsia="Calibri" w:hAnsi="Calibri"/>
        </w:rPr>
        <w:t xml:space="preserve"> AgrosTech's own product tagline —
</w:t>
      </w:r>
      <w:r>
        <w:rPr>
          <w:rFonts w:ascii="Calibri" w:cs="Calibri" w:eastAsia="Calibri" w:hAnsi="Calibri"/>
          <w:i/>
          <w:iCs/>
        </w:rPr>
        <w:t xml:space="preserve">"Dado real de cada hectare: o dono decide, o agrônomo prova"</w:t>
      </w:r>
      <w:r>
        <w:rPr>
          <w:rFonts w:ascii="Calibri" w:cs="Calibri" w:eastAsia="Calibri" w:hAnsi="Calibri"/>
        </w:rPr>
        <w:t xml:space="preserve"> (the
owner decides, the agronomist proves) — is not marketing copy, it's
an organizational commitment. If the "agrônomo prova" half of that
sentence isn't backed by credible, named agronomic authority, the
Passaporte de Crédito Rural is just a well-designed app. Right now
that credibility is carried by an advisor — Michelle Souza Vilela,
PhD Agronomy, CDT/UnB (see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02-team/ADVISOR_NOTE.md</w:t>
      </w:r>
      <w:r>
        <w:rPr>
          <w:rFonts w:ascii="Calibri" w:cs="Calibri" w:eastAsia="Calibri" w:hAnsi="Calibri"/>
        </w:rPr>
        <w:t xml:space="preserve">) — not a
full-time hire. That's the correct sequencing for a US$600K seed,
not a gap to apologize for. The first full-time agronomic hire is
</w:t>
      </w:r>
      <w:r>
        <w:rPr>
          <w:rFonts w:ascii="Calibri" w:cs="Calibri" w:eastAsia="Calibri" w:hAnsi="Calibri"/>
          <w:i/>
          <w:iCs/>
        </w:rPr>
        <w:t xml:space="preserve">triggered</w:t>
      </w:r>
      <w:r>
        <w:rPr>
          <w:rFonts w:ascii="Calibri" w:cs="Calibri" w:eastAsia="Calibri" w:hAnsi="Calibri"/>
        </w:rPr>
        <w:t xml:space="preserve">, not scheduled — see Section 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The hardest constraint isn't sales, it's trusted, field-verified
data.</w:t>
      </w:r>
      <w:r>
        <w:rPr>
          <w:rFonts w:ascii="Calibri" w:cs="Calibri" w:eastAsia="Calibri" w:hAnsi="Calibri"/>
        </w:rPr>
        <w:t xml:space="preserve"> The M1/M2/M3 model stack (Filtro de Área Útil, Radar SAR
Anti-Fuga, Protocolo Halo — 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09-product/TECH_STACK_OVERVIEW.md</w:t>
      </w:r>
      <w:r>
        <w:rPr>
          <w:rFonts w:ascii="Calibri" w:cs="Calibri" w:eastAsia="Calibri" w:hAnsi="Calibri"/>
        </w:rPr>
        <w:t xml:space="preserve">)
is the moat, and 40% of this raise goes into building it
("Dados e IA," per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04-investment-documents/USE_OF_FUNDS.md</w:t>
      </w:r>
      <w:r>
        <w:rPr>
          <w:rFonts w:ascii="Calibri" w:cs="Calibri" w:eastAsia="Calibri" w:hAnsi="Calibri"/>
        </w:rPr>
        <w:t xml:space="preserve">). A
model is only as good as its ground truth. That makes the first
engineering hire, not the first sales hire, the highest-leverage use
of this capital — and it's why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HIRING_PLAN.md</w:t>
      </w:r>
      <w:r>
        <w:rPr>
          <w:rFonts w:ascii="Calibri" w:cs="Calibri" w:eastAsia="Calibri" w:hAnsi="Calibri"/>
        </w:rPr>
        <w:t xml:space="preserve"> v1 already had this
right before this rewrite: CTO first.</w:t>
      </w: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 Where we start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Today (Sep 2026)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Core team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 — Amgad Salih (CEO, interim CTO), Diana Dutra (CCO), Lucas Costa (CDO)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02-team/TEAM_BIOS.md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Advisory bench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 — Chaim Finziola (Credix), Gilberto Damasceno (Shamal Aerospace), Michelle Souza Vilela (PhD Agronomy, CDT/UnB), Leonardo Finziola (Qualcomm, IoT LATAM — technical input + warm intros to São Martinho, Speedbird)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02-team/ADVISOR_NOTE.md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Operating model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Hybrid: AI-agent layer for strategy/marketing/quoting support; humans for field execution, technical sign-off, and relationship-carrying sales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02-team/ORG_DESIGN.md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Proof asset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Fazenda Buritis (217.12 ha, Buritis/MG) — the benchmark property live in the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saas/</w:t>
            </w:r>
            <w:r>
              <w:rPr>
                <w:rFonts w:ascii="Calibri" w:cs="Calibri" w:eastAsia="Calibri" w:hAnsi="Calibri"/>
              </w:rPr>
              <w:t xml:space="preserve"> product (2D map, 3D digital twin, ScoreCard). </w:t>
            </w:r>
            <w:r>
              <w:rPr>
                <w:rFonts w:ascii="Calibri" w:cs="Calibri" w:eastAsia="Calibri" w:hAnsi="Calibri"/>
                <w:b/>
                <w:bCs/>
              </w:rPr>
              <w:t xml:space="preserve">[CONFIRM]</w:t>
            </w:r>
            <w:r>
              <w:rPr>
                <w:rFonts w:ascii="Calibri" w:cs="Calibri" w:eastAsia="Calibri" w:hAnsi="Calibri"/>
              </w:rPr>
              <w:t xml:space="preserve"> whether this is the same property as the deck-confirmed "220ha, Minas Gerais, first paid project" (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01-company-snapshot/CASE_STUDY.md</w:t>
            </w:r>
            <w:r>
              <w:rPr>
                <w:rFonts w:ascii="Calibri" w:cs="Calibri" w:eastAsia="Calibri" w:hAnsi="Calibri"/>
              </w:rPr>
              <w:t xml:space="preserve">) — the hectare count and state are close enough that it's worth a direct founder confirmation before presenting both as separate facts.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Product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Passaporte de Crédito Rural (US$0.80/ha/year subscription) + one-off survey services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08-gtm-revenue/PRICING_MODEL.md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Raise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US$600,000 seed, YC post-money SAFE, 15% at a US$4M cap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04-investment-documents/SAFE_TERMS.md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Gaps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dedicated engineering hire (Amgad covers this on interim basis), no full-time agronomist, no ops/compliance lead, no finance lead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The honest starting constraint:</w:t>
      </w:r>
      <w:r>
        <w:rPr>
          <w:rFonts w:ascii="Calibri" w:cs="Calibri" w:eastAsia="Calibri" w:hAnsi="Calibri"/>
        </w:rPr>
        <w:t xml:space="preserve"> this raise is roughly an order of
magnitude smaller than what a company running the headcount curve of a
funded agtech scale-up would have in the bank. That's not a weakness to
paper over — it's the entire reason this plan exists as </w:t>
      </w:r>
      <w:r>
        <w:rPr>
          <w:rFonts w:ascii="Calibri" w:cs="Calibri" w:eastAsia="Calibri" w:hAnsi="Calibri"/>
          <w:i/>
          <w:iCs/>
        </w:rPr>
        <w:t xml:space="preserve">trigger-based</w:t>
      </w:r>
      <w:r>
        <w:rPr>
          <w:rFonts w:ascii="Calibri" w:cs="Calibri" w:eastAsia="Calibri" w:hAnsi="Calibri"/>
        </w:rPr>
        <w:t xml:space="preserve">
rather than calendar-based hiring. Every hire below has to earn its own
keep against a fixed US$600K before a Series A changes the math.</w:t>
      </w: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 Two scenarios, not one trajectory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reference logic this plan is built from assumes a company already
past seed, hiring against R$2–15M/year of payroll capacity. AgrosTech
is not there yet. Rather than present a single headcount table that
implicitly assumes a Series A that hasn't happened, this plan separates
what US$600K actually funds from what a successful Series A would
unlock — the same discipline the financial model applies with
Bull/Base/Bear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07-financials/FINANCIAL_MODEL.xlsx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</w:rPr>
        <w:t xml:space="preserve">Scenario A — Seed-funded (what this US$600K actually buys)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Function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Today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+18mo (end of seed runway)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Product, Engineering &amp; Data Science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 (Amgad, interim)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 (dedicated CTO + geospatial/data engineer, Amgad returns to CEO-only)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Sales / Institutional BD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 (Diana)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 (Diana + 1 institutional sales hire)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Agronomy &amp; Technical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0 FTE (1 advisor)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0–1 FTE — </w:t>
            </w:r>
            <w:r>
              <w:rPr>
                <w:rFonts w:ascii="Calibri" w:cs="Calibri" w:eastAsia="Calibri" w:hAnsi="Calibri"/>
                <w:b/>
                <w:bCs/>
              </w:rPr>
              <w:t xml:space="preserve">triggered</w:t>
            </w:r>
            <w:r>
              <w:rPr>
                <w:rFonts w:ascii="Calibri" w:cs="Calibri" w:eastAsia="Calibri" w:hAnsi="Calibri"/>
              </w:rPr>
              <w:t xml:space="preserve">, not scheduled (Section 5)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Field / Survey Operations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 (Lucas)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1–2 — contractor/freelance capacity for survey volume, per the founder's existing per-service model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G&amp;A (Finance, Legal, Compliance)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0 FTE — covered by the 10% "Integrações Bacen e segurança" allocation as specialist/contractor engagements, not headcount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core team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6–7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This maps directly to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04-investment-documents/USE_OF_FUNDS.md</w:t>
      </w:r>
      <w:r>
        <w:rPr>
          <w:rFonts w:ascii="Calibri" w:cs="Calibri" w:eastAsia="Calibri" w:hAnsi="Calibri"/>
        </w:rPr>
        <w:t xml:space="preserve">'s
confirmed split: 40% Dados e IA funds the two engineering hires above;
30% Vendas institucionais funds the institutional sales hire and its
travel/BD costs; 20% Operações e reserva funds survey delivery capacity
and the runway buffer; 10% Integrações Bacen e segurança funds the
compliance/Bacen-integration specialist work as a contracted engagement
rather than a headcount line. The bottom-up monthly build in the
financial model's "Budget (Base)" tab already assumes this exact hiring
sequence (CTO from M2, data engineer from M4, sales from M5).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Exit criteria for Scenario A:</w:t>
      </w:r>
      <w:r>
        <w:rPr>
          <w:rFonts w:ascii="Calibri" w:cs="Calibri" w:eastAsia="Calibri" w:hAnsi="Calibri"/>
        </w:rPr>
        <w:t xml:space="preserve"> the two things a Series A investor
will actually check — (1) the interim-CTO gap closed with a dedicated
hire, and (2) at least one of the named pipeline accounts (Coplacana,
Thales' ~30,000 ha, or an advisor-sourced intro such as São Martinho —
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06-customers/SALES_PIPELINE.md</w:t>
      </w:r>
      <w:r>
        <w:rPr>
          <w:rFonts w:ascii="Calibri" w:cs="Calibri" w:eastAsia="Calibri" w:hAnsi="Calibri"/>
        </w:rPr>
        <w:t xml:space="preserve">) converted to a paying subscription,
proving the sales motion doesn't depend entirely on founder relationships.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</w:rPr>
        <w:t xml:space="preserve">Scenario B — Series-A-gated (the shape of a real scale-up, contingent)</w:t>
      </w:r>
    </w:p>
    <w:p>
      <w:pPr>
        <w:spacing w:after="120"/>
      </w:pPr>
      <w:r>
        <w:rPr>
          <w:rFonts w:ascii="Calibri" w:cs="Calibri" w:eastAsia="Calibri" w:hAnsi="Calibri"/>
        </w:rPr>
        <w:t xml:space="preserve">If Series A capital lands on the timeline implied by the deck's own
Base-case revenue curve (US$0.38M → US$1.32M → US$3.50M, 2027–2029 —
see the "Scenarios (Deck)" tab in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FINANCIAL_MODEL.xlsx</w:t>
      </w:r>
      <w:r>
        <w:rPr>
          <w:rFonts w:ascii="Calibri" w:cs="Calibri" w:eastAsia="Calibri" w:hAnsi="Calibri"/>
        </w:rPr>
        <w:t xml:space="preserve">), the
headcount curve below is the directionally right shape — regional field
density, an in-house agronomy bench, an insourced data-processing
function, a proper leadership layer. </w:t>
      </w:r>
      <w:r>
        <w:rPr>
          <w:rFonts w:ascii="Calibri" w:cs="Calibri" w:eastAsia="Calibri" w:hAnsi="Calibri"/>
          <w:b/>
          <w:bCs/>
        </w:rPr>
        <w:t xml:space="preserve">This is explicitly contingent
and should never be presented to an investor as funded by the current
US$600K raise</w:t>
      </w:r>
      <w:r>
        <w:rPr>
          <w:rFonts w:ascii="Calibri" w:cs="Calibri" w:eastAsia="Calibri" w:hAnsi="Calibri"/>
        </w:rPr>
        <w:t xml:space="preserve"> — doing so would be the kind of internal inconsistency
a diligence process catches in minutes (a use-of-funds table that sums
to US$600K sitting next to a payroll table that implies millions).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Function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End FY2027 (post-Series A)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End FY2028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End FY2029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Field Operations (pilots, crew, regional ops)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25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Data Processing &amp; QA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Agronomy &amp; Technical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Sales (AE, SDR, RevOps)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15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Customer Success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Product, Engineering &amp; Data Science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14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Marketing &amp; Brand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G&amp;A (Finance, Legal, People, Exec)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~17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~43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~82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This is roughly a third smaller at every stage than a fully-funded
agtech scale-up's headcount curve would be — deliberately, because
AgrosTech's AI-agent operating layer genuinely displaces headcount that
a traditional services company would need in marketing ops, quoting, and
finance reporting. That's the real capital-efficiency story to tell
investors, not a rounding error.</w:t>
      </w: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 FY2027 in detail — "Close the gap, prove the channel"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This is the only year funded by the current raise; everything past it
is Scenario B and conditional.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Quarter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Role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Why now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Funded by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Q1 '27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CTO / Head of Engineering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Closes the interim-CTO gap. Highest-leverage hire in the company — owns the M1/M2/M3 model stack, moves the enrichment pipeline from simulated to live SICAR/SIGEF integration (see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09-product/PRODUCT_OVERVIEW.md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Dados e IA (40%)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Q2 '27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Geospatial / Data Engineer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Second engineering hire, not first — a CTO alone can't both build and ship. Owns the SAR-radar and anomaly-detection pipeline (M2, M3)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Dados e IA (40%)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Q2 '27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Institutional Sales / BD hire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Converts the named pipeline (Coplacana, Thales, advisor-sourced São Martinho/Speedbird intros) without founder time as the sole bottleneck. Targets banks, cooperatives, and credit desks — the buyer the Resolução CMN 5.267/2025 regulatory driver actually creates urgency for (see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08-gtm-revenue/GTM_STRATEGY.md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Vendas institucionais (30%)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Ongoing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Survey delivery capacity</w:t>
            </w:r>
            <w:r>
              <w:rPr>
                <w:rFonts w:ascii="Calibri" w:cs="Calibri" w:eastAsia="Calibri" w:hAnsi="Calibri"/>
              </w:rPr>
              <w:t xml:space="preserve"> (contractor/freelance, per existing model)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Scales one-off survey revenue alongside the subscription without a fixed headcount commitment before volume justifies one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Operações e reserva (20%)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Ongoing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Bacen integration / compliance specialist</w:t>
            </w:r>
            <w:r>
              <w:rPr>
                <w:rFonts w:ascii="Calibri" w:cs="Calibri" w:eastAsia="Calibri" w:hAnsi="Calibri"/>
              </w:rPr>
              <w:t xml:space="preserve"> (contracted, not FTE)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Builds the MCR 2-9 / ICP-Brasil-signed dossier infrastructure — the actual product of the "Integrações Bacen e segurança" line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Integrações Bacen e segurança (10%)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What's deliberately NOT in FY2027:</w:t>
      </w:r>
      <w:r>
        <w:rPr>
          <w:rFonts w:ascii="Calibri" w:cs="Calibri" w:eastAsia="Calibri" w:hAnsi="Calibri"/>
        </w:rPr>
        <w:t xml:space="preserve"> a full-time agronomist, a
dedicated ops/compliance hire, a marketing hire, a CFO. Each of these
is real and each is triggered in Section 5 — they're withheld here
because US$600K doesn't cover them without starving the two hires that
actually protect the technical moat and prove the institutional-sales
motion. A Fortune-500 board would ask "what did you cut, and why" —
this is the honest answer.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Exit criteria for FY2027:</w:t>
      </w:r>
      <w:r>
        <w:rPr>
          <w:rFonts w:ascii="Calibri" w:cs="Calibri" w:eastAsia="Calibri" w:hAnsi="Calibri"/>
        </w:rPr>
        <w:t xml:space="preserve"> interim-CTO gap closed; the enrichment
pipeline live against at least one real registry source, not simulated;
at least one named pipeline account converted; institutional-sales
motion proven repeatable by a hire other than the founders.</w:t>
      </w: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 Leadership hiring order (Series-A-gated, Scenario B)</w:t>
      </w:r>
    </w:p>
    <w:p>
      <w:pPr>
        <w:spacing w:after="120"/>
      </w:pPr>
      <w:r>
        <w:rPr>
          <w:rFonts w:ascii="Calibri" w:cs="Calibri" w:eastAsia="Calibri" w:hAnsi="Calibri"/>
        </w:rPr>
        <w:t xml:space="preserve">Once a Series A unlocks Scenario B's larger build, this is the order —
each role unlocks the next constraint, same logic as the reference this
plan draws from: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CTO / Head of Engineering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(already hired in Scenario A — carries forward)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Geospatial / Data Engineer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(already hired in Scenario A — carries forward)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Institutional Sales / BD lead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(already hired in Scenario A — carries forward)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First full-time Agronomist</w:t>
      </w:r>
      <w:r>
        <w:rPr>
          <w:rFonts w:ascii="Calibri" w:cs="Calibri" w:eastAsia="Calibri" w:hAnsi="Calibri"/>
        </w:rPr>
        <w:t xml:space="preserve"> — converts the advisor-carried agronomic
credibility (Michelle Souza Vilela) into a named, deliverable-signing
employee once deliverable volume justifies it (trigger in Section 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Customer Success lead</w:t>
      </w:r>
      <w:r>
        <w:rPr>
          <w:rFonts w:ascii="Calibri" w:cs="Calibri" w:eastAsia="Calibri" w:hAnsi="Calibri"/>
        </w:rPr>
        <w:t xml:space="preserve"> — first retention owner, once subscriptions
exist to retain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Finance / Controller (→ CFO)</w:t>
      </w:r>
      <w:r>
        <w:rPr>
          <w:rFonts w:ascii="Calibri" w:cs="Calibri" w:eastAsia="Calibri" w:hAnsi="Calibri"/>
        </w:rPr>
        <w:t xml:space="preserve"> — audit-ready books ahead of Series A
diligence, unit-economics ownership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Head of Operations</w:t>
      </w:r>
      <w:r>
        <w:rPr>
          <w:rFonts w:ascii="Calibri" w:cs="Calibri" w:eastAsia="Calibri" w:hAnsi="Calibri"/>
        </w:rPr>
        <w:t xml:space="preserve"> — ANAC/DECEA compliance, survey delivery
quality, once insourced-versus-contractor volume crosses the trigger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Regional Operations Manager #1</w:t>
      </w:r>
      <w:r>
        <w:rPr>
          <w:rFonts w:ascii="Calibri" w:cs="Calibri" w:eastAsia="Calibri" w:hAnsi="Calibri"/>
        </w:rPr>
        <w:t xml:space="preserve"> — first geographic expansion node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Head of People</w:t>
      </w:r>
      <w:r>
        <w:rPr>
          <w:rFonts w:ascii="Calibri" w:cs="Calibri" w:eastAsia="Calibri" w:hAnsi="Calibri"/>
        </w:rPr>
        <w:t xml:space="preserve"> — once headcount crosses ~15–20 and ad hoc hiring
stops scaling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Compliance / Legal counsel (in-house)</w:t>
      </w:r>
      <w:r>
        <w:rPr>
          <w:rFonts w:ascii="Calibri" w:cs="Calibri" w:eastAsia="Calibri" w:hAnsi="Calibri"/>
        </w:rPr>
        <w:t xml:space="preserve"> — data licensing, LGPD,
aviation regulation, once outside counsel cost exceeds a loaded hire</w:t>
      </w: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 Hiring triggers (how AgrosTech avoids over- and under-hiring)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Every hire past the FY2027 core three is released by a trigger, not a
calendar date — the same discipline the reference plan uses, rescaled
to AgrosTech's actual metrics: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Trigger (leading indicator)</w:t>
            </w:r>
          </w:p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Releases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Hectares under subscription &gt; 70% of current survey-delivery capacity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+1 survey-delivery contractor/crew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Deliverables awaiting agronomic sign-off exceed a 2-week queue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First full-time agronomist hire (converts the advisor role, doesn't abandon it)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Named pipeline conversion rate proves repeatable across ≥2 accounts without founder-led closing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+1 additional institutional sales hire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Subscription accounts per relationship-owner exceed an agreed ceiling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First Customer Success hire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Cash balance (per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FINANCIAL_MODEL.xlsx</w:t>
            </w:r>
            <w:r>
              <w:rPr>
                <w:rFonts w:ascii="Calibri" w:cs="Calibri" w:eastAsia="Calibri" w:hAnsi="Calibri"/>
              </w:rPr>
              <w:t xml:space="preserve">, Budget tab, "Cash balance" row) falls below a 6-month-runway threshold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Freeze all non-critical hiring immediately</w:t>
            </w:r>
            <w:r>
              <w:rPr>
                <w:rFonts w:ascii="Calibri" w:cs="Calibri" w:eastAsia="Calibri" w:hAnsi="Calibri"/>
              </w:rPr>
              <w:t xml:space="preserve"> — this is the single most important trigger in this table for a US$600K raise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Series A closes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Scenario B activates; leadership-order hires in Section 4 begin releasing against the new capital base</w:t>
            </w:r>
          </w:p>
        </w:tc>
      </w:tr>
    </w:tbl>
    <w:p>
      <w:pPr>
        <w:spacing w:after="120"/>
      </w:pP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 Compensation, equity &amp; retention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Cash:</w:t>
      </w:r>
      <w:r>
        <w:rPr>
          <w:rFonts w:ascii="Calibri" w:cs="Calibri" w:eastAsia="Calibri" w:hAnsi="Calibri"/>
        </w:rPr>
        <w:t xml:space="preserve"> at or near market for the two engineering hires — Brazil's
remote-sensing/geospatial talent pool is scarce and competitive;
underpaying the CTO-adjacent hire is the single most expensive mistake
available to a company whose entire moat is the model stack that hire
builds. Sales stays variable-heavy, tied to the same margin discipline
already built into the Deal Desk logic elsewhere in this repo — no
commission structure that rewards volume over the deal quality the
subscription model depends on.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Equity:</w:t>
      </w:r>
      <w:r>
        <w:rPr>
          <w:rFonts w:ascii="Calibri" w:cs="Calibri" w:eastAsia="Calibri" w:hAnsi="Calibri"/>
        </w:rPr>
        <w:t xml:space="preserve"> vesting is already confirmed — 4 years, 1-year cliff,
applying to all three founders (see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02-team/VESTING_AND_ESOP.md</w:t>
      </w:r>
      <w:r>
        <w:rPr>
          <w:rFonts w:ascii="Calibri" w:cs="Calibri" w:eastAsia="Calibri" w:hAnsi="Calibri"/>
        </w:rPr>
        <w:t xml:space="preserve">).
Option pool size for early hires is still </w:t>
      </w:r>
      <w:r>
        <w:rPr>
          <w:rFonts w:ascii="Calibri" w:cs="Calibri" w:eastAsia="Calibri" w:hAnsi="Calibri"/>
          <w:b/>
          <w:bCs/>
        </w:rPr>
        <w:t xml:space="preserve">[CONFIRM]</w:t>
      </w:r>
      <w:r>
        <w:rPr>
          <w:rFonts w:ascii="Calibri" w:cs="Calibri" w:eastAsia="Calibri" w:hAnsi="Calibri"/>
        </w:rPr>
        <w:t xml:space="preserve"> — that
decision has to be made before the SAFE closes (see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04-investment-documents/CAP_TABLE.md</w:t>
      </w:r>
      <w:r>
        <w:rPr>
          <w:rFonts w:ascii="Calibri" w:cs="Calibri" w:eastAsia="Calibri" w:hAnsi="Calibri"/>
        </w:rPr>
        <w:t xml:space="preserve">), not deferred to when the
first hire's offer letter is drafted.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Retention:</w:t>
      </w:r>
      <w:r>
        <w:rPr>
          <w:rFonts w:ascii="Calibri" w:cs="Calibri" w:eastAsia="Calibri" w:hAnsi="Calibri"/>
        </w:rPr>
        <w:t xml:space="preserve"> for the two engineering hires specifically — technical
authorship on the M1/M2/M3 model documentation, and a clear path to
"Head of Engineering" title recognition once Scenario B's leadership
layer forms, rather than losing them to a bigger company's title
inflation.</w:t>
      </w: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 Sourcing engine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Geospatial / remote sensing / data engineering:</w:t>
      </w:r>
      <w:r>
        <w:rPr>
          <w:rFonts w:ascii="Calibri" w:cs="Calibri" w:eastAsia="Calibri" w:hAnsi="Calibri"/>
        </w:rPr>
        <w:t xml:space="preserve"> Brazilian
remote-first talent pool, with agtech hubs (Piracicaba/ESALQ-USP,
Ribeirão Preto, Viçosa/UFV) as recruiting nodes; Embrapa alumni
network given the overlap with the Ceres Cubo classification work
already in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runner/ceres_cubo/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Agronomy (when Section 5's trigger fires):</w:t>
      </w:r>
      <w:r>
        <w:rPr>
          <w:rFonts w:ascii="Calibri" w:cs="Calibri" w:eastAsia="Calibri" w:hAnsi="Calibri"/>
        </w:rPr>
        <w:t xml:space="preserve"> ESALQ/USP, UFV, UFLA,
UFU, UFG, UNESP — and directly through the existing CDT/UnB
relationship (Michelle Souza Vilela), which is both an advisory
channel and, credibly, a sourcing channel for the first full-time
agronomic hire.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Institutional sales:</w:t>
      </w:r>
      <w:r>
        <w:rPr>
          <w:rFonts w:ascii="Calibri" w:cs="Calibri" w:eastAsia="Calibri" w:hAnsi="Calibri"/>
        </w:rPr>
        <w:t xml:space="preserve"> networks adjacent to the confirmed advisor
bench — Chaim Finziola's fintech/credit-infrastructure network
(Credix) and Leonardo Finziola's active introductions (São Martinho,
Speedbird) are a warmer sourcing channel for this specific hire than
a generic sales-recruiting search.</w:t>
      </w: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8. Risks and mitigations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Risk</w:t>
            </w:r>
          </w:p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Mitigation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Hiring ahead of revenue on a US$600K raise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Trigger-based releases (Section 5); the cash-balance-below-6-months trigger is a hard stop, not a guideline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Series A doesn't materialize on the deck's implied timeline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Scenario A is designed to function as a standalone, sustainable state — it is not a "burn and hope" plan; Scenario B never gets presented as committed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Key-person dependency on the three founders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The two Scenario-A engineering hires exist specifically to close the interim-CTO single-point-of-failure; institutional sales hire exists to prove the motion survives without founder-led closing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Agronomic credibility gap before the first full-time hire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Explicitly carried by an advisor (Michelle Souza Vilela) with real credentials, not silently absent — see Section 0, belief 2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Talent competition for scarce geospatial/remote-sensing engineers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Near-market cash plus real technical ownership (M1/M2/M3 authorship) rather than competing purely on salary against better-funded companies</w:t>
            </w:r>
          </w:p>
        </w:tc>
      </w:tr>
    </w:tbl>
    <w:p>
      <w:pPr>
        <w:spacing w:after="120"/>
      </w:pP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9. What this plan tells an investor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Capital-discipline, not headcount ambition, is the story at this
stage.</w:t>
      </w:r>
      <w:r>
        <w:rPr>
          <w:rFonts w:ascii="Calibri" w:cs="Calibri" w:eastAsia="Calibri" w:hAnsi="Calibri"/>
        </w:rPr>
        <w:t xml:space="preserve"> US$600,000 funds two engineering hires and one institutional
sales hire — nothing more — and this plan says so plainly rather than
presenting an org chart the raise can't actually pay for.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The AI-agent operating layer is real leverage, not a slide.</w:t>
      </w:r>
      <w:r>
        <w:rPr>
          <w:rFonts w:ascii="Calibri" w:cs="Calibri" w:eastAsia="Calibri" w:hAnsi="Calibri"/>
        </w:rPr>
        <w:t xml:space="preserve"> Three
people are already running strategy support, marketing, and quoting
functions a traditional company would staff separately — that's why
Scenario A's core-team-of-six-to-seven is a credible operating unit,
not an understaffed one.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The technical moat has a people plan, and it's funded first.</w:t>
      </w:r>
      <w:r>
        <w:rPr>
          <w:rFonts w:ascii="Calibri" w:cs="Calibri" w:eastAsia="Calibri" w:hAnsi="Calibri"/>
        </w:rPr>
        <w:t xml:space="preserve"> 40%
of the raise goes to the two hires that build M1/M2/M3 — that's not a
rounding choice, it's the plan's central bet.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Every hire past the funded three is tied to a trigger and an exit
criterion</w:t>
      </w:r>
      <w:r>
        <w:rPr>
          <w:rFonts w:ascii="Calibri" w:cs="Calibri" w:eastAsia="Calibri" w:hAnsi="Calibri"/>
        </w:rPr>
        <w:t xml:space="preserve">, not a calendar date — the same discipline a much larger,
better-funded agtech company would run, applied honestly to a much
smaller balance sheet.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3-Year Hiring Plan v2.0 | Confidencial | 2026 | Rebuilt from a larger-scale-up reference plan supplied by the founder (2026-09-24) — structure and trigger logic retained, all headcount/cost figures rescaled to the confirmed US$600,000 raise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AgrosTech — 3-Year Hiring Plan (FY2027–FY2029)</dc:title>
  <dc:creator>AgrosTech</dc:creator>
  <cp:lastModifiedBy>Un-named</cp:lastModifiedBy>
  <cp:revision>1</cp:revision>
  <dcterms:created xsi:type="dcterms:W3CDTF">2026-09-24T15:05:18.643Z</dcterms:created>
  <dcterms:modified xsi:type="dcterms:W3CDTF">2026-09-24T15:05:18.643Z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