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Investor Update —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ready to use starting the month after the first cheque clears.</w:t>
      </w: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Send monthly, same day each month, even when the news is bad. Keep it
to one screen.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AgrosTech — Investor Update — [Month Year]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TL;DR:</w:t>
      </w:r>
      <w:r>
        <w:rPr>
          <w:rFonts w:ascii="Calibri" w:cs="Calibri" w:eastAsia="Calibri" w:hAnsi="Calibri"/>
        </w:rPr>
        <w:t xml:space="preserve"> [1–2 sentences — the single most important thing that changed]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Metrics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Metric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This month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Last month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Target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Hectares under subscription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MRR (R$, from R$4/ha/year subscription)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One-off survey revenue (R$)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Cash in bank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Runway (months)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Pipeline value (R$)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Wins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[ ]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Challenges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[ ]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Asks (what you need from investors this month)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[ ]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</w:rPr>
        <w:t xml:space="preserve">Next month's focus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[ ]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Investor Update Template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Investor Update — Template</dc:title>
  <dc:creator>AgrosTech</dc:creator>
  <cp:lastModifiedBy>Un-named</cp:lastModifiedBy>
  <cp:revision>1</cp:revision>
  <dcterms:created xsi:type="dcterms:W3CDTF">2026-09-24T15:05:20.064Z</dcterms:created>
  <dcterms:modified xsi:type="dcterms:W3CDTF">2026-09-24T15:05:20.064Z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