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Market Research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figures sourced and dated; the deck's TAM/SAM/target figures
are now the official numbers to lead with — the IBGE/Plano Safra
bottom-up sizing below is supporting detail, not a competing estimate.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regulatory driver — why now (from the pitch deck)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As of </w:t>
      </w:r>
      <w:r>
        <w:rPr>
          <w:rFonts w:ascii="Calibri" w:cs="Calibri" w:eastAsia="Calibri" w:hAnsi="Calibri"/>
          <w:b/>
          <w:bCs/>
        </w:rPr>
        <w:t xml:space="preserve">March 2026</w:t>
      </w:r>
      <w:r>
        <w:rPr>
          <w:rFonts w:ascii="Calibri" w:cs="Calibri" w:eastAsia="Calibri" w:hAnsi="Calibri"/>
        </w:rPr>
        <w:t xml:space="preserve">, Banco Central's </w:t>
      </w:r>
      <w:r>
        <w:rPr>
          <w:rFonts w:ascii="Calibri" w:cs="Calibri" w:eastAsia="Calibri" w:hAnsi="Calibri"/>
          <w:b/>
          <w:bCs/>
        </w:rPr>
        <w:t xml:space="preserve">Resolução CMN nº 5.267/2025</w:t>
      </w:r>
      <w:r>
        <w:rPr>
          <w:rFonts w:ascii="Calibri" w:cs="Calibri" w:eastAsia="Calibri" w:hAnsi="Calibri"/>
        </w:rPr>
        <w:t xml:space="preserve">
requires rural-credit compliance to be proven by remote sensing.
Outsourcing the check does not outsource the liability — quoting the
regulation directly (BCB, MCR 2-9):</w:t>
      </w:r>
    </w:p>
    <w:p>
      <w:pPr>
        <w:pBdr>
          <w:left w:val="single" w:color="E5A72C" w:sz="12" w:space="8"/>
        </w:pBdr>
        <w:spacing w:after="80"/>
        <w:ind w:left="360"/>
      </w:pPr>
      <w:r>
        <w:rPr>
          <w:rFonts w:ascii="Calibri" w:cs="Calibri" w:eastAsia="Calibri" w:hAnsi="Calibri"/>
          <w:i/>
          <w:iCs/>
        </w:rPr>
        <w:t xml:space="preserve">"A responsabilidade legal e regulatória pela conformidade continua
sendo indelegavelmente dela."</w:t>
      </w:r>
      <w:r>
        <w:rPr>
          <w:rFonts w:ascii="Calibri" w:cs="Calibri" w:eastAsia="Calibri" w:hAnsi="Calibri"/>
        </w:rPr>
        <w:t xml:space="preserve">
("Legal and regulatory responsibility for compliance remains
non-delegable.")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is the single most important market-timing fact in this data room:
it converts "nice to have geospatial data" into "a bank now has a
standing legal obligation it cannot contract away, and needs a vendor
who can prove compliance in an auditable, signed format." That's exactly
what the Passaporte de Crédito Rural's MCR 2-9 dossier (ICP-Brasil
signed) is built to be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09-product/PRODUCT_OVERVIEW.md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Official market sizing (from the deck's "O Mercado" slide)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Metric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market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US$ 880M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80M+ ha "em evidência" (i.e., hectares where this kind of compliance evidence is now relevant)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Addressable (SAM)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US$ 125M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Initial states: MT, GO, MG, PR, RS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36-month target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US$ 3M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Company's own stated revenue goal in 36 months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Pricing basis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US$ 0.80/ha/year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≈ R$ 4/ha/year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How the US$880M TAM was likely derived:</w:t>
      </w:r>
      <w:r>
        <w:rPr>
          <w:rFonts w:ascii="Calibri" w:cs="Calibri" w:eastAsia="Calibri" w:hAnsi="Calibri"/>
        </w:rPr>
        <w:t xml:space="preserve"> 80M+ ha × US$0.80/ha ≈
US$64M just from the base subscription — the US$880M figure implies
either a broader hectare base than 80M, additional revenue streams
(one-off surveys, MRV, enterprise/audit add-ons) layered on top, or both.
[CONFIRM the exact derivation with the founder before defending this
number line-by-line in a diligence conversation — investors will ask
"walk me through how you got to $880M."]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Supporting bottom-up sizing (IBGE / Plano Safra, sourced independently)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Kept as corroborating detail — a second, independently-sourced angle
that arrives in the same order of magnitude as the deck's own figures,
which is a useful thing to be able to say in the room.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IBGE's PAM 2025 (all 70 tracked crops): </w:t>
      </w:r>
      <w:r>
        <w:rPr>
          <w:rFonts w:ascii="Calibri" w:cs="Calibri" w:eastAsia="Calibri" w:hAnsi="Calibri"/>
          <w:b/>
          <w:bCs/>
        </w:rPr>
        <w:t xml:space="preserve">101.3 million hectares</w:t>
      </w:r>
      <w:r>
        <w:rPr>
          <w:rFonts w:ascii="Calibri" w:cs="Calibri" w:eastAsia="Calibri" w:hAnsi="Calibri"/>
        </w:rPr>
        <w:t xml:space="preserve">
planted nationally.
</w:t>
      </w:r>
      <w:hyperlink w:history="1" r:id="rIdmbh_iu8ja31fburajtwqw">
        <w:r>
          <w:rPr>
            <w:rFonts w:ascii="Calibri" w:cs="Calibri" w:eastAsia="Calibri" w:hAnsi="Calibri"/>
            <w:color w:val="2563EB"/>
            <w:u w:val="single"/>
          </w:rPr>
          <w:t xml:space="preserve">IBGE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IBGE's 2026 estimate for cereals/legumes/oilseeds: </w:t>
      </w:r>
      <w:r>
        <w:rPr>
          <w:rFonts w:ascii="Calibri" w:cs="Calibri" w:eastAsia="Calibri" w:hAnsi="Calibri"/>
          <w:b/>
          <w:bCs/>
        </w:rPr>
        <w:t xml:space="preserve">83.1 million
hectares</w:t>
      </w:r>
      <w:r>
        <w:rPr>
          <w:rFonts w:ascii="Calibri" w:cs="Calibri" w:eastAsia="Calibri" w:hAnsi="Calibri"/>
        </w:rPr>
        <w:t xml:space="preserve">, up 1.8% y/y.
</w:t>
      </w:r>
      <w:hyperlink w:history="1" r:id="rIdscacpsdqkross6kp5wro7">
        <w:r>
          <w:rPr>
            <w:rFonts w:ascii="Calibri" w:cs="Calibri" w:eastAsia="Calibri" w:hAnsi="Calibri"/>
            <w:color w:val="2563EB"/>
            <w:u w:val="single"/>
          </w:rPr>
          <w:t xml:space="preserve">Jornal de Brasília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Rural credit this plugs into — </w:t>
      </w:r>
      <w:r>
        <w:rPr>
          <w:rFonts w:ascii="Calibri" w:cs="Calibri" w:eastAsia="Calibri" w:hAnsi="Calibri"/>
          <w:b/>
          <w:bCs/>
        </w:rPr>
        <w:t xml:space="preserve">Plano Safra 2025/26: R$ 516.2
billion</w:t>
      </w:r>
      <w:r>
        <w:rPr>
          <w:rFonts w:ascii="Calibri" w:cs="Calibri" w:eastAsia="Calibri" w:hAnsi="Calibri"/>
        </w:rPr>
        <w:t xml:space="preserve"> available; </w:t>
      </w:r>
      <w:r>
        <w:rPr>
          <w:rFonts w:ascii="Calibri" w:cs="Calibri" w:eastAsia="Calibri" w:hAnsi="Calibri"/>
          <w:b/>
          <w:bCs/>
        </w:rPr>
        <w:t xml:space="preserve">Plano Safra 2026/27: R$ 525.1 billion</w:t>
      </w:r>
      <w:r>
        <w:rPr>
          <w:rFonts w:ascii="Calibri" w:cs="Calibri" w:eastAsia="Calibri" w:hAnsi="Calibri"/>
        </w:rPr>
        <w:t xml:space="preserve">.
</w:t>
      </w:r>
      <w:hyperlink w:history="1" r:id="rIdsy41znxp1gnqmusa5wpxj">
        <w:r>
          <w:rPr>
            <w:rFonts w:ascii="Calibri" w:cs="Calibri" w:eastAsia="Calibri" w:hAnsi="Calibri"/>
            <w:color w:val="2563EB"/>
            <w:u w:val="single"/>
          </w:rPr>
          <w:t xml:space="preserve">Grupo Amanhã</w:t>
        </w:r>
      </w:hyperlink>
      <w:r>
        <w:rPr>
          <w:rFonts w:ascii="Calibri" w:cs="Calibri" w:eastAsia="Calibri" w:hAnsi="Calibri"/>
        </w:rPr>
        <w:t xml:space="preserve"> ·
</w:t>
      </w:r>
      <w:hyperlink w:history="1" r:id="rIdhzbuaywesj_72e83sngku">
        <w:r>
          <w:rPr>
            <w:rFonts w:ascii="Calibri" w:cs="Calibri" w:eastAsia="Calibri" w:hAnsi="Calibri"/>
            <w:color w:val="2563EB"/>
            <w:u w:val="single"/>
          </w:rPr>
          <w:t xml:space="preserve">O Especialista / Safra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At 101.3M ha × R$4/ha (US$0.80), a full-market subscription TAM would
be </w:t>
      </w:r>
      <w:r>
        <w:rPr>
          <w:rFonts w:ascii="Calibri" w:cs="Calibri" w:eastAsia="Calibri" w:hAnsi="Calibri"/>
          <w:b/>
          <w:bCs/>
        </w:rPr>
        <w:t xml:space="preserve">≈ R$405M/year (≈US$81M/year)</w:t>
      </w:r>
      <w:r>
        <w:rPr>
          <w:rFonts w:ascii="Calibri" w:cs="Calibri" w:eastAsia="Calibri" w:hAnsi="Calibri"/>
        </w:rPr>
        <w:t xml:space="preserve"> — in the same order of magnitude
as the deck's US$880M figure once one-off services, MRV, and
enterprise revenue are layered on top of the pure subscription base.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R$800bn fraud-exposure figure (problem-sizing, not market-sizing)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Separately, the deck's problem slide states </w:t>
      </w:r>
      <w:r>
        <w:rPr>
          <w:rFonts w:ascii="Calibri" w:cs="Calibri" w:eastAsia="Calibri" w:hAnsi="Calibri"/>
          <w:b/>
          <w:bCs/>
        </w:rPr>
        <w:t xml:space="preserve">R$ 800 billion (≈ US$ 157
billion) in active Brazilian rural credit is exposed to four fraud
vectors</w:t>
      </w:r>
      <w:r>
        <w:rPr>
          <w:rFonts w:ascii="Calibri" w:cs="Calibri" w:eastAsia="Calibri" w:hAnsi="Calibri"/>
        </w:rPr>
        <w:t xml:space="preserve"> the current paper-based process can't catch: falsified land
area, grain diverted before loan maturity, judicial-recovery used as a
collection shield, and deforested land laundered through a "clean" CAR.
This is a different number from the TAM above — it's the size of the
</w:t>
      </w:r>
      <w:r>
        <w:rPr>
          <w:rFonts w:ascii="Calibri" w:cs="Calibri" w:eastAsia="Calibri" w:hAnsi="Calibri"/>
          <w:i/>
          <w:iCs/>
        </w:rPr>
        <w:t xml:space="preserve">risk</w:t>
      </w:r>
      <w:r>
        <w:rPr>
          <w:rFonts w:ascii="Calibri" w:cs="Calibri" w:eastAsia="Calibri" w:hAnsi="Calibri"/>
        </w:rPr>
        <w:t xml:space="preserve"> the product mitigates, not the size of the </w:t>
      </w:r>
      <w:r>
        <w:rPr>
          <w:rFonts w:ascii="Calibri" w:cs="Calibri" w:eastAsia="Calibri" w:hAnsi="Calibri"/>
          <w:i/>
          <w:iCs/>
        </w:rPr>
        <w:t xml:space="preserve">addressable revenue</w:t>
      </w:r>
      <w:r>
        <w:rPr>
          <w:rFonts w:ascii="Calibri" w:cs="Calibri" w:eastAsia="Calibri" w:hAnsi="Calibri"/>
        </w:rPr>
        <w:t xml:space="preserve">.
Keep these two numbers distinct when presenting; conflating them
overstates the market opportunity.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honest read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deck's US$880M/US$125M/US$3M figures are now the official numbers —
lead with those. The IBGE/Plano Safra sourcing here exists so that if an
investor pressure-tests the deck's TAM, there's an independent,
source-linked estimate in the same ballpark to point to, rather than
just re-asserting the deck's own number.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Market Research v2.0 | Confidencial | 2026 | Reconciled against the founder's pitch deck (2026-09-24) | External sources retrieved 2026-09-24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bh_iu8ja31fburajtwqw" Type="http://schemas.openxmlformats.org/officeDocument/2006/relationships/hyperlink" Target="https://ftp.ibge.gov.br/Producao_Agricola/Levantamento_Sistematico_da_Producao_Agricola_%5Bmensal%5D/Fasciculo_Indicadores_IBGE/2025/estProdAgri_202508.pdf" TargetMode="External"/><Relationship Id="rIdscacpsdqkross6kp5wro7" Type="http://schemas.openxmlformats.org/officeDocument/2006/relationships/hyperlink" Target="https://jornaldebrasilia.com.br/noticias/economia/safra-2026-alcancara-353-milhoes-de-t-2-maior-que-a-de-2025-afirma-ibge/" TargetMode="External"/><Relationship Id="rIdsy41znxp1gnqmusa5wpxj" Type="http://schemas.openxmlformats.org/officeDocument/2006/relationships/hyperlink" Target="https://amanha.com.br/categoria/brasil/plano-safra-2025-2026-disponibilizara-r-516-2-bilhoes" TargetMode="External"/><Relationship Id="rIdhzbuaywesj_72e83sngku" Type="http://schemas.openxmlformats.org/officeDocument/2006/relationships/hyperlink" Target="https://oespecialista.safra.com.br/plano-safra-2026-2027-credito-rural-525-bilhoe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Research</dc:title>
  <dc:creator>AgrosTech</dc:creator>
  <cp:lastModifiedBy>Un-named</cp:lastModifiedBy>
  <cp:revision>1</cp:revision>
  <dcterms:created xsi:type="dcterms:W3CDTF">2026-09-24T15:05:22.346Z</dcterms:created>
  <dcterms:modified xsi:type="dcterms:W3CDTF">2026-09-24T15:05:22.346Z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