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Tax &amp; Compliance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🔴 [CONFIRM] — depends on the entity-structure decision in </w:t>
      </w:r>
      <w:r>
        <w:rPr>
          <w:rFonts w:ascii="Consolas" w:cs="Consolas" w:eastAsia="Consolas" w:hAnsi="Consolas"/>
          <w:b/>
          <w:bCs/>
          <w:sz w:val="20"/>
          <w:szCs w:val="20"/>
          <w:shd w:fill="F2EFE6" w:val="clear"/>
        </w:rPr>
        <w:t xml:space="preserve">03-company-documents/INCORPORATION_STATUS.md</w:t>
      </w:r>
      <w:r>
        <w:rPr>
          <w:rFonts w:ascii="Calibri" w:cs="Calibri" w:eastAsia="Calibri" w:hAnsi="Calibri"/>
          <w:b/>
          <w:bCs/>
        </w:rPr>
        <w:t xml:space="preserve">.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Item</w:t>
            </w:r>
          </w:p>
        </w:tc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Status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Brazilian tax regime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 — currently under the founder's personal CNPJ; regime (Simples Nacional / Lucro Presumido / other) changes once a dedicated CNPJ is set up]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Accounting filings up to date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Certidões negativas (CNDs)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 tax exposure (if Delaware entity is formed)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 — depends on whether the Delaware-flip path is taken]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This deliberately can't be filled in with confidence until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INCORPORATION_STATUS.md</w:t>
      </w:r>
      <w:r>
        <w:rPr>
          <w:rFonts w:ascii="Calibri" w:cs="Calibri" w:eastAsia="Calibri" w:hAnsi="Calibri"/>
        </w:rPr>
        <w:t xml:space="preserve"> resolves — tax regime and filing obligations
follow the entity, and the entity isn't settled yet.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Tax &amp; Compliance v1.0 | Confidencial | 2026 | Not tax advice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&amp; Compliance</dc:title>
  <dc:creator>AgrosTech</dc:creator>
  <cp:lastModifiedBy>Un-named</cp:lastModifiedBy>
  <cp:revision>1</cp:revision>
  <dcterms:created xsi:type="dcterms:W3CDTF">2026-09-24T15:05:22.991Z</dcterms:created>
  <dcterms:modified xsi:type="dcterms:W3CDTF">2026-09-24T15:05:22.991Z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