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Unit Economics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built fresh for the subscription + survey-services model — does not reuse 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knowledge-base/UNIT_ECONOMICS.md</w:t>
      </w:r>
      <w:r>
        <w:rPr>
          <w:rFonts w:ascii="Calibri" w:cs="Calibri" w:eastAsia="Calibri" w:hAnsi="Calibri"/>
          <w:b/>
          <w:bCs/>
        </w:rPr>
        <w:t xml:space="preserve"> (which priced full drone missions per hectare under the older services-only pricing).</w:t>
      </w:r>
      <w:r>
        <w:rPr>
          <w:rFonts w:ascii="Calibri" w:cs="Calibri" w:eastAsia="Calibri" w:hAnsi="Calibri"/>
        </w:rPr>
        <w:t xml:space="preserve">
Full detail with live formulas: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FINANCIAL_MODEL.xlsx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Unit Economics</w:t>
      </w:r>
      <w:r>
        <w:rPr>
          <w:rFonts w:ascii="Calibri" w:cs="Calibri" w:eastAsia="Calibri" w:hAnsi="Calibri"/>
        </w:rPr>
        <w:t xml:space="preserve"> tab.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Subscription (Passaporte de Crédito Rural)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Metric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Confirmed?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Price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R$ 4/ha/year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founder-confirmed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Gross margin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80% 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placeholder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Avg. hectares per customer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1,500 ha 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placeholder — informed by pipeline scale (Thales' 30,000 ha is a single large outlier, not a typical customer)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Monthly churn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2%/mo 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placeholder — no cohort old enough to measure yet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Implied LTV (gross-profit basis)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computed in spreadsheet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formula-driven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Survey services (one-off)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Metric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Confirmed?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Avg. fee per survey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R$ 15,000 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placeholder — needs founder's actual pricing for the current model (explicitly not reusing the old R$35–120/ha drone-mission table)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Gross margin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55% [CONFIRM]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placeholder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CAC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Not yet estimable — the two confirmed engagements to date (Fabio's
CAR/SICAR survey, the 35 ha weed-scan) and the current pipeline
(Coplacana, Thales) all came from founder-led relationship sales, not a
paid or repeatable acquisition channel. Worth tracking honestly as
"CAC: not yet measured" rather than inventing a number — investors will
notice a fabricated CAC faster than an honest gap.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Unit Economics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Economics</dc:title>
  <dc:creator>AgrosTech</dc:creator>
  <cp:lastModifiedBy>Un-named</cp:lastModifiedBy>
  <cp:revision>1</cp:revision>
  <dcterms:created xsi:type="dcterms:W3CDTF">2026-09-24T15:05:23.140Z</dcterms:created>
  <dcterms:modified xsi:type="dcterms:W3CDTF">2026-09-24T15:05:23.140Z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