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Product Roadmap — Next 18 Months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🟡 sequencing logic is sound (mirrors the hiring plan and the funded milestones); specific dates are [CONFIRM].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Tied to what the round funds — see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04-investment-documents/USE_OF_FUNDS.md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10080"/>
        <w:tblBorders>
          <w:top w:val="single" w:color="D9D3C3" w:sz="4"/>
          <w:left w:val="single" w:color="D9D3C3" w:sz="4"/>
          <w:bottom w:val="single" w:color="D9D3C3" w:sz="4"/>
          <w:right w:val="single" w:color="D9D3C3" w:sz="4"/>
          <w:insideH w:val="single" w:color="D9D3C3" w:sz="2"/>
          <w:insideV w:val="single" w:color="D9D3C3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Phase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Focus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Depends on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Now → M2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Close the interim-CTO gap; harden the enrichment pipeline from simulated (</w:t>
            </w:r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setTimeout</w:t>
            </w:r>
            <w:r>
              <w:rPr>
                <w:rFonts w:ascii="Calibri" w:cs="Calibri" w:eastAsia="Calibri" w:hAnsi="Calibri"/>
              </w:rPr>
              <w:t xml:space="preserve">) to live SICAR/SIGEF integration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CTO hire (Hiring Plan #1)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M2–M6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Convert named pipeline: Coplacana, Thales' 30,000 ha (Bahia cacao)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Sales hire (Hiring Plan #3); GTM channel motion (</w:t>
            </w:r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08-gtm-revenue/GTM_STRATEGY.md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M4–M9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Validate the Passaporte de Crédito Rural with at least one bank/cooperative/certifier as accepted credit evidence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Product maturity + first real B2B (bank/fund) org account in </w:t>
            </w:r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saas/supabase/schema.sql</w:t>
            </w:r>
            <w:r>
              <w:rPr>
                <w:rFonts w:ascii="Calibri" w:cs="Calibri" w:eastAsia="Calibri" w:hAnsi="Calibri"/>
              </w:rPr>
              <w:t xml:space="preserve">'s </w:t>
            </w:r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organizations</w:t>
            </w:r>
            <w:r>
              <w:rPr>
                <w:rFonts w:ascii="Calibri" w:cs="Calibri" w:eastAsia="Calibri" w:hAnsi="Calibri"/>
              </w:rPr>
              <w:t xml:space="preserve"> table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M9–M18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[CONFIRM — LIM (land viability index) groundwork begins, per </w:t>
            </w:r>
            <w:r>
              <w:rPr>
                <w:rFonts w:ascii="Consolas" w:cs="Consolas" w:eastAsia="Consolas" w:hAnsi="Consolas"/>
                <w:sz w:val="20"/>
                <w:szCs w:val="20"/>
                <w:shd w:fill="F2EFE6" w:val="clear"/>
              </w:rPr>
              <w:t xml:space="preserve">01-company-snapshot/LONG_TERM_VISION.md</w:t>
            </w:r>
            <w:r>
              <w:rPr>
                <w:rFonts w:ascii="Calibri" w:cs="Calibri" w:eastAsia="Calibri" w:hAnsi="Calibri"/>
              </w:rPr>
              <w:t xml:space="preserve">]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Population-level data from Stage 2 install base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[CONFIRM — founder to validate/adjust phase boundaries and add any
milestones not captured here.]</w:t>
      </w:r>
    </w:p>
    <w:p>
      <w:pPr>
        <w:pBdr>
          <w:bottom w:val="single" w:color="D9D3C3" w:sz="6" w:space="4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AgrosTech — Roadmap v1.0 | Confidencial |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A72C" w:sz="8" w:space="4"/>
      </w:pBdr>
      <w:spacing w:after="160" w:before="0"/>
    </w:pPr>
    <w:rPr>
      <w:rFonts w:ascii="Calibri" w:cs="Calibri" w:eastAsia="Calibri" w:hAnsi="Calibri"/>
      <w:b/>
      <w:bCs/>
      <w:color w:val="1C2A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C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A6A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5A6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Roadmap — Next 18 Months</dc:title>
  <dc:creator>AgrosTech</dc:creator>
  <cp:lastModifiedBy>Un-named</cp:lastModifiedBy>
  <cp:revision>1</cp:revision>
  <dcterms:created xsi:type="dcterms:W3CDTF">2026-09-24T15:05:24.245Z</dcterms:created>
  <dcterms:modified xsi:type="dcterms:W3CDTF">2026-09-24T15:05:24.245Z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