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oard-consents-checklist"/>
    <w:p>
      <w:pPr>
        <w:pStyle w:val="Heading1"/>
      </w:pPr>
      <w:r>
        <w:t xml:space="preserve">Board Consents — Checklist</w:t>
      </w:r>
    </w:p>
    <w:p>
      <w:pPr>
        <w:pStyle w:val="FirstParagraph"/>
      </w:pPr>
      <w:r>
        <w:rPr>
          <w:bCs/>
          <w:b/>
        </w:rPr>
        <w:t xml:space="preserve">Status: 🔴 no board consents have been executed yet — neither the</w:t>
      </w:r>
      <w:r>
        <w:rPr>
          <w:bCs/>
          <w:b/>
        </w:rPr>
        <w:t xml:space="preserve"> </w:t>
      </w:r>
      <w:r>
        <w:rPr>
          <w:bCs/>
          <w:b/>
        </w:rPr>
        <w:t xml:space="preserve">Delaware holding nor the Brazilian LTDA exists yet. This is the list of</w:t>
      </w:r>
      <w:r>
        <w:rPr>
          <w:bCs/>
          <w:b/>
        </w:rPr>
        <w:t xml:space="preserve"> </w:t>
      </w:r>
      <w:r>
        <w:rPr>
          <w:bCs/>
          <w:b/>
        </w:rPr>
        <w:t xml:space="preserve">consents needed once they do.</w:t>
      </w:r>
    </w:p>
    <w:p>
      <w:pPr>
        <w:pStyle w:val="BodyText"/>
      </w:pPr>
      <w:r>
        <w:t xml:space="preserve">Once the Delaware holding and the new Brazilian LTDA are formed (see</w:t>
      </w:r>
      <w:r>
        <w:t xml:space="preserve"> </w:t>
      </w:r>
      <w:r>
        <w:rPr>
          <w:rStyle w:val="VerbatimChar"/>
        </w:rPr>
        <w:t xml:space="preserve">INCORPORATION_STATUS.md</w:t>
      </w:r>
      <w:r>
        <w:t xml:space="preserve">), the following written board consents are</w:t>
      </w:r>
      <w:r>
        <w:t xml:space="preserve"> </w:t>
      </w:r>
      <w:r>
        <w:t xml:space="preserve">needed at the Delaware holding level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SAFE can be signed: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approving issuance of founder stock</w:t>
      </w:r>
      <w:r>
        <w:t xml:space="preserve"> </w:t>
      </w:r>
      <w:r>
        <w:t xml:space="preserve">to Amgad, Diana, and</w:t>
      </w:r>
      <w:r>
        <w:t xml:space="preserve"> </w:t>
      </w:r>
      <w:r>
        <w:t xml:space="preserve">Lucas at the agreed equity split, subject to the vesting schedule in</w:t>
      </w:r>
      <w:r>
        <w:t xml:space="preserve"> </w:t>
      </w:r>
      <w:r>
        <w:rPr>
          <w:rStyle w:val="VerbatimChar"/>
        </w:rPr>
        <w:t xml:space="preserve">02-team/VESTING_AND_ESOP.md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approving the option pool (ESOP) size</w:t>
      </w:r>
      <w:r>
        <w:t xml:space="preserve">, carved out of the</w:t>
      </w:r>
      <w:r>
        <w:t xml:space="preserve"> </w:t>
      </w:r>
      <w:r>
        <w:t xml:space="preserve">post-money cap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SAFE signing — this ordering matters because</w:t>
      </w:r>
      <w:r>
        <w:t xml:space="preserve"> </w:t>
      </w:r>
      <w:r>
        <w:t xml:space="preserve">a pool created after signing dilutes founders, not the SAFE holder.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approving the SAFE issuance itself</w:t>
      </w:r>
      <w:r>
        <w:t xml:space="preserve"> </w:t>
      </w:r>
      <w:r>
        <w:t xml:space="preserve">— terms per</w:t>
      </w:r>
      <w:r>
        <w:t xml:space="preserve"> </w:t>
      </w:r>
      <w:r>
        <w:rPr>
          <w:rStyle w:val="VerbatimChar"/>
        </w:rPr>
        <w:t xml:space="preserve">04-investment-documents/SAFE_TERMS.md</w:t>
      </w:r>
      <w:r>
        <w:t xml:space="preserve">. The SAFE’s own terms panel</w:t>
      </w:r>
      <w:r>
        <w:t xml:space="preserve"> </w:t>
      </w:r>
      <w:r>
        <w:t xml:space="preserve">specifies: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Company signs: Amgad, as CEO, after a board consent</w:t>
      </w:r>
      <w:r>
        <w:rPr>
          <w:iCs/>
          <w:i/>
        </w:rPr>
        <w:t xml:space="preserve"> </w:t>
      </w:r>
      <w:r>
        <w:rPr>
          <w:iCs/>
          <w:i/>
        </w:rPr>
        <w:t xml:space="preserve">approving the SAFE issuance.</w:t>
      </w:r>
      <w:r>
        <w:rPr>
          <w:iCs/>
          <w:i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[CONFIRM — any additional consents required by Brazilian corporate law</w:t>
      </w:r>
      <w:r>
        <w:t xml:space="preserve"> </w:t>
      </w:r>
      <w:r>
        <w:t xml:space="preserve">if the Brazilian entity is the one issuing, rather than a Delaware</w:t>
      </w:r>
      <w:r>
        <w:t xml:space="preserve"> </w:t>
      </w:r>
      <w:r>
        <w:t xml:space="preserve">parent.]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Board Consents Checklist v1.0 | Confidencial | 2026 | Not legal advice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