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etitive-landscape"/>
    <w:p>
      <w:pPr>
        <w:pStyle w:val="Heading1"/>
      </w:pPr>
      <w:r>
        <w:t xml:space="preserve">Competitive Landscape</w:t>
      </w:r>
    </w:p>
    <w:p>
      <w:pPr>
        <w:pStyle w:val="FirstParagraph"/>
      </w:pPr>
      <w:r>
        <w:rPr>
          <w:bCs/>
          <w:b/>
        </w:rPr>
        <w:t xml:space="preserve">Status: ✅ confirmed directly from the pitch deck’s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Concorrência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slide.</w:t>
      </w:r>
    </w:p>
    <w:bookmarkStart w:id="20" w:name="named-competitors"/>
    <w:p>
      <w:pPr>
        <w:pStyle w:val="Heading2"/>
      </w:pPr>
      <w:r>
        <w:t xml:space="preserve">Named competitors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 (per the deck)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Agrotools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score, and risk — from registries and satellite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Serasa Experian Agro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category — credit bureau’s agro-compliance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TerraMagna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category</w:t>
            </w:r>
          </w:p>
        </w:tc>
      </w:tr>
    </w:tbl>
    <w:p>
      <w:pPr>
        <w:pStyle w:val="BodyText"/>
      </w:pPr>
      <w:r>
        <w:t xml:space="preserve">The deck groups all five under one line: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Compliance, score e risco a</w:t>
      </w:r>
      <w:r>
        <w:rPr>
          <w:bCs/>
          <w:b/>
        </w:rPr>
        <w:t xml:space="preserve"> </w:t>
      </w:r>
      <w:r>
        <w:rPr>
          <w:bCs/>
          <w:b/>
        </w:rPr>
        <w:t xml:space="preserve">partir de cadastros e satélite</w:t>
      </w:r>
      <w:r>
        <w:rPr>
          <w:bCs/>
          <w:b/>
        </w:rPr>
        <w:t xml:space="preserve">”</w:t>
      </w:r>
      <w:r>
        <w:t xml:space="preserve"> </w:t>
      </w:r>
      <w:r>
        <w:t xml:space="preserve">(compliance, score, and risk from</w:t>
      </w:r>
      <w:r>
        <w:t xml:space="preserve"> </w:t>
      </w:r>
      <w:r>
        <w:t xml:space="preserve">registries and satellite).</w:t>
      </w:r>
    </w:p>
    <w:bookmarkEnd w:id="20"/>
    <w:bookmarkStart w:id="21" w:name="the-stated-differentiation"/>
    <w:p>
      <w:pPr>
        <w:pStyle w:val="Heading2"/>
      </w:pPr>
      <w:r>
        <w:t xml:space="preserve">The stated differentiation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Muitos olham do espaço. Nós levamos a prova até o chão.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Many look from space. We bring the proof down to the ground.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AgrosTech’s claimed edge: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Satélite, radar SAR e drone por anomalia,</w:t>
      </w:r>
      <w:r>
        <w:rPr>
          <w:bCs/>
          <w:b/>
        </w:rPr>
        <w:t xml:space="preserve"> </w:t>
      </w:r>
      <w:r>
        <w:rPr>
          <w:bCs/>
          <w:b/>
        </w:rPr>
        <w:t xml:space="preserve">fechados em um dossiê assinado. A evidência que a nova regra pede.</w:t>
      </w:r>
      <w:r>
        <w:rPr>
          <w:bCs/>
          <w:b/>
        </w:rPr>
        <w:t xml:space="preserve">”</w:t>
      </w:r>
      <w:r>
        <w:t xml:space="preserve"> </w:t>
      </w:r>
      <w:r>
        <w:t xml:space="preserve">(Satellite, SAR radar, and drone-on-anomaly, closed into a signed</w:t>
      </w:r>
      <w:r>
        <w:t xml:space="preserve"> </w:t>
      </w:r>
      <w:r>
        <w:t xml:space="preserve">dossier — the evidence the new rule requires.)</w:t>
      </w:r>
    </w:p>
    <w:p>
      <w:pPr>
        <w:pStyle w:val="BodyText"/>
      </w:pPr>
      <w:r>
        <w:t xml:space="preserve">Concretely, this maps to the three proprietary models described in</w:t>
      </w:r>
      <w:r>
        <w:t xml:space="preserve"> </w:t>
      </w:r>
      <w:r>
        <w:rPr>
          <w:rStyle w:val="VerbatimChar"/>
        </w:rPr>
        <w:t xml:space="preserve">09-product/TECH_STACK_OVERVIEW.md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M1 (Filtro de Área Útil)</w:t>
      </w:r>
      <w:r>
        <w:t xml:space="preserve"> </w:t>
      </w:r>
      <w:r>
        <w:t xml:space="preserve">and the satellite/registry layer are</w:t>
      </w:r>
      <w:r>
        <w:t xml:space="preserve"> </w:t>
      </w:r>
      <w:r>
        <w:t xml:space="preserve">where AgrosTech’s offering likely overlaps most with the named</w:t>
      </w:r>
      <w:r>
        <w:t xml:space="preserve"> </w:t>
      </w:r>
      <w:r>
        <w:t xml:space="preserve">competitors above (all five appear to be registry+satellite plays).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M2 (Radar SAR Anti-Fuga)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M3 (Protocolo Halo)</w:t>
      </w:r>
      <w:r>
        <w:t xml:space="preserve">, plus the</w:t>
      </w:r>
      <w:r>
        <w:t xml:space="preserve"> </w:t>
      </w:r>
      <w:r>
        <w:t xml:space="preserve">drone-on-anomaly model and the ICP-Brasil-signed MCR 2-9 dossier</w:t>
      </w:r>
      <w:r>
        <w:t xml:space="preserve"> </w:t>
      </w:r>
      <w:r>
        <w:t xml:space="preserve">format, are the parts of the claim that need independent verification</w:t>
      </w:r>
      <w:r>
        <w:t xml:space="preserve"> </w:t>
      </w:r>
      <w:r>
        <w:t xml:space="preserve">against what these five competitors actually ship — this data room</w:t>
      </w:r>
      <w:r>
        <w:t xml:space="preserve"> </w:t>
      </w:r>
      <w:r>
        <w:t xml:space="preserve">has not done that verification.</w:t>
      </w:r>
    </w:p>
    <w:bookmarkEnd w:id="21"/>
    <w:bookmarkStart w:id="22" w:name="X6f9372ed4769fec4eea3fe6fcfa7947827aba8e"/>
    <w:p>
      <w:pPr>
        <w:pStyle w:val="Heading2"/>
      </w:pPr>
      <w:r>
        <w:t xml:space="preserve">What this data room has NOT done (be direct about this)</w:t>
      </w:r>
    </w:p>
    <w:p>
      <w:pPr>
        <w:pStyle w:val="FirstParagraph"/>
      </w:pPr>
      <w:r>
        <w:t xml:space="preserve">This competitive table reflects</w:t>
      </w:r>
      <w:r>
        <w:t xml:space="preserve"> </w:t>
      </w:r>
      <w:r>
        <w:rPr>
          <w:bCs/>
          <w:b/>
        </w:rPr>
        <w:t xml:space="preserve">AgrosTech’s own framing of its</w:t>
      </w:r>
      <w:r>
        <w:rPr>
          <w:bCs/>
          <w:b/>
        </w:rPr>
        <w:t xml:space="preserve"> </w:t>
      </w:r>
      <w:r>
        <w:rPr>
          <w:bCs/>
          <w:b/>
        </w:rPr>
        <w:t xml:space="preserve">competitors</w:t>
      </w:r>
      <w:r>
        <w:t xml:space="preserve">, taken from the deck — it is not independent research into</w:t>
      </w:r>
      <w:r>
        <w:t xml:space="preserve"> </w:t>
      </w:r>
      <w:r>
        <w:t xml:space="preserve">what Agrotools, Serasa Experian Agro, TerraMagna, Traive, or Terras</w:t>
      </w:r>
      <w:r>
        <w:t xml:space="preserve"> </w:t>
      </w:r>
      <w:r>
        <w:t xml:space="preserve">actually offer today, at what price, or with what accuracy. Before this</w:t>
      </w:r>
      <w:r>
        <w:t xml:space="preserve"> </w:t>
      </w:r>
      <w:r>
        <w:t xml:space="preserve">claim is defended in a live diligence conversation:</w:t>
      </w:r>
    </w:p>
    <w:p>
      <w:pPr>
        <w:numPr>
          <w:ilvl w:val="0"/>
          <w:numId w:val="1001"/>
        </w:numPr>
        <w:pStyle w:val="Compact"/>
      </w:pPr>
      <w:r>
        <w:t xml:space="preserve">[CONFIRM] whether any of these five already offer SAR radar or</w:t>
      </w:r>
      <w:r>
        <w:t xml:space="preserve"> </w:t>
      </w:r>
      <w:r>
        <w:t xml:space="preserve">drone-on-anomaly capability (the claimed point of differentiation)</w:t>
      </w:r>
      <w:r>
        <w:t xml:space="preserve"> </w:t>
      </w:r>
      <w:r>
        <w:t xml:space="preserve">— if even one does, the</w:t>
      </w:r>
      <w:r>
        <w:t xml:space="preserve"> </w:t>
      </w:r>
      <w:r>
        <w:t xml:space="preserve">“</w:t>
      </w:r>
      <w:r>
        <w:t xml:space="preserve">nós levamos a prova até o chão</w:t>
      </w:r>
      <w:r>
        <w:t xml:space="preserve">”</w:t>
      </w:r>
      <w:r>
        <w:t xml:space="preserve"> </w:t>
      </w:r>
      <w:r>
        <w:t xml:space="preserve">claim needs</w:t>
      </w:r>
      <w:r>
        <w:t xml:space="preserve"> </w:t>
      </w:r>
      <w:r>
        <w:t xml:space="preserve">sharpening to what’s</w:t>
      </w:r>
      <w:r>
        <w:t xml:space="preserve"> </w:t>
      </w:r>
      <w:r>
        <w:rPr>
          <w:iCs/>
          <w:i/>
        </w:rPr>
        <w:t xml:space="preserve">actually</w:t>
      </w:r>
      <w:r>
        <w:t xml:space="preserve"> </w:t>
      </w:r>
      <w:r>
        <w:t xml:space="preserve">unique.</w:t>
      </w:r>
    </w:p>
    <w:p>
      <w:pPr>
        <w:numPr>
          <w:ilvl w:val="0"/>
          <w:numId w:val="1001"/>
        </w:numPr>
        <w:pStyle w:val="Compact"/>
      </w:pPr>
      <w:r>
        <w:t xml:space="preserve">[CONFIRM] pricing comparisons — is AgrosTech’s US$0.80/ha/year</w:t>
      </w:r>
      <w:r>
        <w:t xml:space="preserve"> </w:t>
      </w:r>
      <w:r>
        <w:t xml:space="preserve">cheaper, more expensive, or simply structured differently from how</w:t>
      </w:r>
      <w:r>
        <w:t xml:space="preserve"> </w:t>
      </w:r>
      <w:r>
        <w:t xml:space="preserve">these competitors charge?</w:t>
      </w:r>
    </w:p>
    <w:p>
      <w:pPr>
        <w:numPr>
          <w:ilvl w:val="0"/>
          <w:numId w:val="1001"/>
        </w:numPr>
        <w:pStyle w:val="Compact"/>
      </w:pPr>
      <w:r>
        <w:t xml:space="preserve">[CONFIRM] which of these five, if any, are compliant with or</w:t>
      </w:r>
      <w:r>
        <w:t xml:space="preserve"> </w:t>
      </w:r>
      <w:r>
        <w:t xml:space="preserve">marketing themselves against Resolução CMN nº 5.267/2025 specifically</w:t>
      </w:r>
      <w:r>
        <w:t xml:space="preserve"> </w:t>
      </w:r>
      <w:r>
        <w:t xml:space="preserve">— if they’ve already positioned around the same regulation, the</w:t>
      </w:r>
      <w:r>
        <w:t xml:space="preserve"> </w:t>
      </w:r>
      <w:r>
        <w:t xml:space="preserve">“</w:t>
      </w:r>
      <w:r>
        <w:t xml:space="preserve">new</w:t>
      </w:r>
      <w:r>
        <w:t xml:space="preserve"> </w:t>
      </w:r>
      <w:r>
        <w:t xml:space="preserve">rule</w:t>
      </w:r>
      <w:r>
        <w:t xml:space="preserve">”</w:t>
      </w:r>
      <w:r>
        <w:t xml:space="preserve"> </w:t>
      </w:r>
      <w:r>
        <w:t xml:space="preserve">urgency argument is shared, not exclusive.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Competitive Landscape v1.0 | Confidencial | 2026 | Sourced from the founder’s pitch deck (2026-09-24); independent verification not yet performed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