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arket-research"/>
    <w:p>
      <w:pPr>
        <w:pStyle w:val="Heading1"/>
      </w:pPr>
      <w:r>
        <w:t xml:space="preserve">Market Research</w:t>
      </w:r>
    </w:p>
    <w:p>
      <w:pPr>
        <w:pStyle w:val="FirstParagraph"/>
      </w:pPr>
      <w:r>
        <w:rPr>
          <w:bCs/>
          <w:b/>
        </w:rPr>
        <w:t xml:space="preserve">Status: ✅ figures sourced and dated; the deck’s TAM/SAM/target figures</w:t>
      </w:r>
      <w:r>
        <w:rPr>
          <w:bCs/>
          <w:b/>
        </w:rPr>
        <w:t xml:space="preserve"> </w:t>
      </w:r>
      <w:r>
        <w:rPr>
          <w:bCs/>
          <w:b/>
        </w:rPr>
        <w:t xml:space="preserve">are now the official numbers to lead with — the IBGE/Plano Safra</w:t>
      </w:r>
      <w:r>
        <w:rPr>
          <w:bCs/>
          <w:b/>
        </w:rPr>
        <w:t xml:space="preserve"> </w:t>
      </w:r>
      <w:r>
        <w:rPr>
          <w:bCs/>
          <w:b/>
        </w:rPr>
        <w:t xml:space="preserve">bottom-up sizing below is supporting detail, not a competing estimate.</w:t>
      </w:r>
    </w:p>
    <w:bookmarkStart w:id="20" w:name="X3560ba4e1c23d9eee3346fc2e5be786d534a425"/>
    <w:p>
      <w:pPr>
        <w:pStyle w:val="Heading2"/>
      </w:pPr>
      <w:r>
        <w:t xml:space="preserve">The regulatory driver — why now (from the pitch deck)</w:t>
      </w:r>
    </w:p>
    <w:p>
      <w:pPr>
        <w:pStyle w:val="FirstParagraph"/>
      </w:pPr>
      <w:r>
        <w:t xml:space="preserve">As of</w:t>
      </w:r>
      <w:r>
        <w:t xml:space="preserve"> </w:t>
      </w:r>
      <w:r>
        <w:rPr>
          <w:bCs/>
          <w:b/>
        </w:rPr>
        <w:t xml:space="preserve">March 2026</w:t>
      </w:r>
      <w:r>
        <w:t xml:space="preserve">, Banco Central’s</w:t>
      </w:r>
      <w:r>
        <w:t xml:space="preserve"> </w:t>
      </w:r>
      <w:r>
        <w:rPr>
          <w:bCs/>
          <w:b/>
        </w:rPr>
        <w:t xml:space="preserve">Resolução CMN nº 5.267/2025</w:t>
      </w:r>
      <w:r>
        <w:t xml:space="preserve"> </w:t>
      </w:r>
      <w:r>
        <w:t xml:space="preserve">requires rural-credit compliance to be proven by remote sensing.</w:t>
      </w:r>
      <w:r>
        <w:t xml:space="preserve"> </w:t>
      </w:r>
      <w:r>
        <w:t xml:space="preserve">Outsourcing the check does not outsource the liability — quoting the</w:t>
      </w:r>
      <w:r>
        <w:t xml:space="preserve"> </w:t>
      </w:r>
      <w:r>
        <w:t xml:space="preserve">regulation directly (BCB, MCR 2-9):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A responsabilidade legal e regulatória pela conformidade continua</w:t>
      </w:r>
      <w:r>
        <w:rPr>
          <w:iCs/>
          <w:i/>
        </w:rPr>
        <w:t xml:space="preserve"> </w:t>
      </w:r>
      <w:r>
        <w:rPr>
          <w:iCs/>
          <w:i/>
        </w:rPr>
        <w:t xml:space="preserve">sendo indelegavelmente dela.</w:t>
      </w:r>
      <w:r>
        <w:rPr>
          <w:iCs/>
          <w:i/>
        </w:rP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Legal and regulatory responsibility for compliance remains</w:t>
      </w:r>
      <w:r>
        <w:t xml:space="preserve"> </w:t>
      </w:r>
      <w:r>
        <w:t xml:space="preserve">non-delegable.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This is the single most important market-timing fact in this data room:</w:t>
      </w:r>
      <w:r>
        <w:t xml:space="preserve"> </w:t>
      </w:r>
      <w:r>
        <w:t xml:space="preserve">it converts</w:t>
      </w:r>
      <w:r>
        <w:t xml:space="preserve"> </w:t>
      </w:r>
      <w:r>
        <w:t xml:space="preserve">“</w:t>
      </w:r>
      <w:r>
        <w:t xml:space="preserve">nice to have geospatial data</w:t>
      </w:r>
      <w:r>
        <w:t xml:space="preserve">”</w:t>
      </w:r>
      <w:r>
        <w:t xml:space="preserve"> </w:t>
      </w:r>
      <w:r>
        <w:t xml:space="preserve">into</w:t>
      </w:r>
      <w:r>
        <w:t xml:space="preserve"> </w:t>
      </w:r>
      <w:r>
        <w:t xml:space="preserve">“</w:t>
      </w:r>
      <w:r>
        <w:t xml:space="preserve">a bank now has a</w:t>
      </w:r>
      <w:r>
        <w:t xml:space="preserve"> </w:t>
      </w:r>
      <w:r>
        <w:t xml:space="preserve">standing legal obligation it cannot contract away, and needs a vendor</w:t>
      </w:r>
      <w:r>
        <w:t xml:space="preserve"> </w:t>
      </w:r>
      <w:r>
        <w:t xml:space="preserve">who can prove compliance in an auditable, signed format.</w:t>
      </w:r>
      <w:r>
        <w:t xml:space="preserve">”</w:t>
      </w:r>
      <w:r>
        <w:t xml:space="preserve"> </w:t>
      </w:r>
      <w:r>
        <w:t xml:space="preserve">That’s exactly</w:t>
      </w:r>
      <w:r>
        <w:t xml:space="preserve"> </w:t>
      </w:r>
      <w:r>
        <w:t xml:space="preserve">what the Passaporte de Crédito Rural’s MCR 2-9 dossier (ICP-Brasil</w:t>
      </w:r>
      <w:r>
        <w:t xml:space="preserve"> </w:t>
      </w:r>
      <w:r>
        <w:t xml:space="preserve">signed) is built to be — see</w:t>
      </w:r>
      <w:r>
        <w:t xml:space="preserve"> </w:t>
      </w:r>
      <w:r>
        <w:rPr>
          <w:rStyle w:val="VerbatimChar"/>
        </w:rPr>
        <w:t xml:space="preserve">09-product/PRODUCT_OVERVIEW.md</w:t>
      </w:r>
      <w:r>
        <w:t xml:space="preserve">.</w:t>
      </w:r>
    </w:p>
    <w:bookmarkEnd w:id="20"/>
    <w:bookmarkStart w:id="21" w:name="Xe9a6387dfbe80cc4990aee5284651614c0a1f64"/>
    <w:p>
      <w:pPr>
        <w:pStyle w:val="Heading2"/>
      </w:pPr>
      <w:r>
        <w:t xml:space="preserve">Official market sizing (from the deck’s</w:t>
      </w:r>
      <w:r>
        <w:t xml:space="preserve"> </w:t>
      </w:r>
      <w:r>
        <w:t xml:space="preserve">“</w:t>
      </w:r>
      <w:r>
        <w:t xml:space="preserve">O Mercado</w:t>
      </w:r>
      <w:r>
        <w:t xml:space="preserve">”</w:t>
      </w:r>
      <w:r>
        <w:t xml:space="preserve"> </w:t>
      </w:r>
      <w:r>
        <w:t xml:space="preserve">slide)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market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US$ 880M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80M+ ha</w:t>
            </w:r>
            <w:r>
              <w:t xml:space="preserve"> </w:t>
            </w:r>
            <w:r>
              <w:t xml:space="preserve">“</w:t>
            </w:r>
            <w:r>
              <w:t xml:space="preserve">em evidência</w:t>
            </w:r>
            <w:r>
              <w:t xml:space="preserve">”</w:t>
            </w:r>
            <w:r>
              <w:t xml:space="preserve"> </w:t>
            </w:r>
            <w:r>
              <w:t xml:space="preserve">(i.e., hectares where this kind of compliance evidence is now relevant)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Addressable (SAM)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US$ 125M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states: MT, GO, MG, PR, 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36-month 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US$ 3M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Company’s own stated revenue goal in 36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Pricing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US$ 0.80/ha/year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R$ 4/ha/year</w:t>
            </w:r>
          </w:p>
        </w:tc>
      </w:tr>
    </w:tbl>
    <w:p>
      <w:pPr>
        <w:pStyle w:val="BodyText"/>
      </w:pPr>
      <w:r>
        <w:rPr>
          <w:bCs/>
          <w:b/>
        </w:rPr>
        <w:t xml:space="preserve">How the US$880M TAM was likely derived:</w:t>
      </w:r>
      <w:r>
        <w:t xml:space="preserve"> </w:t>
      </w:r>
      <w:r>
        <w:t xml:space="preserve">80M+ ha × US$0.80/ha ≈</w:t>
      </w:r>
      <w:r>
        <w:t xml:space="preserve"> </w:t>
      </w:r>
      <w:r>
        <w:t xml:space="preserve">US$64M just from the base subscription — the US$880M figure implies</w:t>
      </w:r>
      <w:r>
        <w:t xml:space="preserve"> </w:t>
      </w:r>
      <w:r>
        <w:t xml:space="preserve">either a broader hectare base than 80M, additional revenue streams</w:t>
      </w:r>
      <w:r>
        <w:t xml:space="preserve"> </w:t>
      </w:r>
      <w:r>
        <w:t xml:space="preserve">(one-off surveys, MRV, enterprise/audit add-ons) layered on top, or both.</w:t>
      </w:r>
      <w:r>
        <w:t xml:space="preserve"> </w:t>
      </w:r>
      <w:r>
        <w:t xml:space="preserve">[CONFIRM the exact derivation with the founder before defending this</w:t>
      </w:r>
      <w:r>
        <w:t xml:space="preserve"> </w:t>
      </w:r>
      <w:r>
        <w:t xml:space="preserve">number line-by-line in a diligence conversation — investors will ask</w:t>
      </w:r>
      <w:r>
        <w:t xml:space="preserve"> </w:t>
      </w:r>
      <w:r>
        <w:t xml:space="preserve">“</w:t>
      </w:r>
      <w:r>
        <w:t xml:space="preserve">walk me through how you got to $880M.</w:t>
      </w:r>
      <w:r>
        <w:t xml:space="preserve">”</w:t>
      </w:r>
      <w:r>
        <w:t xml:space="preserve">]</w:t>
      </w:r>
    </w:p>
    <w:bookmarkEnd w:id="21"/>
    <w:bookmarkStart w:id="26" w:name="X2f525f1dfb2a587700533148d820c205f6f4545"/>
    <w:p>
      <w:pPr>
        <w:pStyle w:val="Heading2"/>
      </w:pPr>
      <w:r>
        <w:t xml:space="preserve">Supporting bottom-up sizing (IBGE / Plano Safra, sourced independently)</w:t>
      </w:r>
    </w:p>
    <w:p>
      <w:pPr>
        <w:pStyle w:val="FirstParagraph"/>
      </w:pPr>
      <w:r>
        <w:t xml:space="preserve">Kept as corroborating detail — a second, independently-sourced angle</w:t>
      </w:r>
      <w:r>
        <w:t xml:space="preserve"> </w:t>
      </w:r>
      <w:r>
        <w:t xml:space="preserve">that arrives in the same order of magnitude as the deck’s own figures,</w:t>
      </w:r>
      <w:r>
        <w:t xml:space="preserve"> </w:t>
      </w:r>
      <w:r>
        <w:t xml:space="preserve">which is a useful thing to be able to say in the room.</w:t>
      </w:r>
    </w:p>
    <w:p>
      <w:pPr>
        <w:numPr>
          <w:ilvl w:val="0"/>
          <w:numId w:val="1001"/>
        </w:numPr>
        <w:pStyle w:val="Compact"/>
      </w:pPr>
      <w:r>
        <w:t xml:space="preserve">IBGE’s PAM 2025 (all 70 tracked crops):</w:t>
      </w:r>
      <w:r>
        <w:t xml:space="preserve"> </w:t>
      </w:r>
      <w:r>
        <w:rPr>
          <w:bCs/>
          <w:b/>
        </w:rPr>
        <w:t xml:space="preserve">101.3 million hectares</w:t>
      </w:r>
      <w:r>
        <w:t xml:space="preserve"> </w:t>
      </w:r>
      <w:r>
        <w:t xml:space="preserve">planted nationally.</w:t>
      </w:r>
      <w:r>
        <w:t xml:space="preserve"> </w:t>
      </w:r>
      <w:hyperlink r:id="rId22">
        <w:r>
          <w:rPr>
            <w:rStyle w:val="Hyperlink"/>
          </w:rPr>
          <w:t xml:space="preserve">IBGE</w:t>
        </w:r>
      </w:hyperlink>
    </w:p>
    <w:p>
      <w:pPr>
        <w:numPr>
          <w:ilvl w:val="0"/>
          <w:numId w:val="1001"/>
        </w:numPr>
        <w:pStyle w:val="Compact"/>
      </w:pPr>
      <w:r>
        <w:t xml:space="preserve">IBGE’s 2026 estimate for cereals/legumes/oilseeds:</w:t>
      </w:r>
      <w:r>
        <w:t xml:space="preserve"> </w:t>
      </w:r>
      <w:r>
        <w:rPr>
          <w:bCs/>
          <w:b/>
        </w:rPr>
        <w:t xml:space="preserve">83.1 million</w:t>
      </w:r>
      <w:r>
        <w:rPr>
          <w:bCs/>
          <w:b/>
        </w:rPr>
        <w:t xml:space="preserve"> </w:t>
      </w:r>
      <w:r>
        <w:rPr>
          <w:bCs/>
          <w:b/>
        </w:rPr>
        <w:t xml:space="preserve">hectares</w:t>
      </w:r>
      <w:r>
        <w:t xml:space="preserve">, up 1.8% y/y.</w:t>
      </w:r>
      <w:r>
        <w:t xml:space="preserve"> </w:t>
      </w:r>
      <w:hyperlink r:id="rId23">
        <w:r>
          <w:rPr>
            <w:rStyle w:val="Hyperlink"/>
          </w:rPr>
          <w:t xml:space="preserve">Jornal de Brasília</w:t>
        </w:r>
      </w:hyperlink>
    </w:p>
    <w:p>
      <w:pPr>
        <w:numPr>
          <w:ilvl w:val="0"/>
          <w:numId w:val="1001"/>
        </w:numPr>
        <w:pStyle w:val="Compact"/>
      </w:pPr>
      <w:r>
        <w:t xml:space="preserve">Rural credit this plugs into —</w:t>
      </w:r>
      <w:r>
        <w:t xml:space="preserve"> </w:t>
      </w:r>
      <w:r>
        <w:rPr>
          <w:bCs/>
          <w:b/>
        </w:rPr>
        <w:t xml:space="preserve">Plano Safra 2025/26: R$ 516.2</w:t>
      </w:r>
      <w:r>
        <w:rPr>
          <w:bCs/>
          <w:b/>
        </w:rPr>
        <w:t xml:space="preserve"> </w:t>
      </w:r>
      <w:r>
        <w:rPr>
          <w:bCs/>
          <w:b/>
        </w:rPr>
        <w:t xml:space="preserve">billion</w:t>
      </w:r>
      <w:r>
        <w:t xml:space="preserve"> </w:t>
      </w:r>
      <w:r>
        <w:t xml:space="preserve">available;</w:t>
      </w:r>
      <w:r>
        <w:t xml:space="preserve"> </w:t>
      </w:r>
      <w:r>
        <w:rPr>
          <w:bCs/>
          <w:b/>
        </w:rPr>
        <w:t xml:space="preserve">Plano Safra 2026/27: R$ 525.1 billion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Grupo Amanhã</w:t>
        </w:r>
      </w:hyperlink>
      <w:r>
        <w:t xml:space="preserve"> </w:t>
      </w:r>
      <w:r>
        <w:t xml:space="preserve">·</w:t>
      </w:r>
      <w:r>
        <w:t xml:space="preserve"> </w:t>
      </w:r>
      <w:hyperlink r:id="rId25">
        <w:r>
          <w:rPr>
            <w:rStyle w:val="Hyperlink"/>
          </w:rPr>
          <w:t xml:space="preserve">O Especialista / Safra</w:t>
        </w:r>
      </w:hyperlink>
    </w:p>
    <w:p>
      <w:pPr>
        <w:numPr>
          <w:ilvl w:val="0"/>
          <w:numId w:val="1001"/>
        </w:numPr>
        <w:pStyle w:val="Compact"/>
      </w:pPr>
      <w:r>
        <w:t xml:space="preserve">At 101.3M ha × R$4/ha (US$0.80), a full-market subscription TAM would</w:t>
      </w:r>
      <w:r>
        <w:t xml:space="preserve"> </w:t>
      </w:r>
      <w:r>
        <w:t xml:space="preserve">be</w:t>
      </w:r>
      <w:r>
        <w:t xml:space="preserve"> </w:t>
      </w:r>
      <w:r>
        <w:rPr>
          <w:bCs/>
          <w:b/>
        </w:rPr>
        <w:t xml:space="preserve">≈ R$405M/year (≈US$81M/year)</w:t>
      </w:r>
      <w:r>
        <w:t xml:space="preserve"> </w:t>
      </w:r>
      <w:r>
        <w:t xml:space="preserve">— in the same order of magnitude</w:t>
      </w:r>
      <w:r>
        <w:t xml:space="preserve"> </w:t>
      </w:r>
      <w:r>
        <w:t xml:space="preserve">as the deck’s US$880M figure once one-off services, MRV, and</w:t>
      </w:r>
      <w:r>
        <w:t xml:space="preserve"> </w:t>
      </w:r>
      <w:r>
        <w:t xml:space="preserve">enterprise revenue are layered on top of the pure subscription base.</w:t>
      </w:r>
    </w:p>
    <w:bookmarkEnd w:id="26"/>
    <w:bookmarkStart w:id="27" w:name="X990ed3b0d87790ad18c67d34d376fe1b1e80846"/>
    <w:p>
      <w:pPr>
        <w:pStyle w:val="Heading2"/>
      </w:pPr>
      <w:r>
        <w:t xml:space="preserve">The R$800bn fraud-exposure figure (problem-sizing, not market-sizing)</w:t>
      </w:r>
    </w:p>
    <w:p>
      <w:pPr>
        <w:pStyle w:val="FirstParagraph"/>
      </w:pPr>
      <w:r>
        <w:t xml:space="preserve">Separately, the deck’s problem slide states</w:t>
      </w:r>
      <w:r>
        <w:t xml:space="preserve"> </w:t>
      </w:r>
      <w:r>
        <w:rPr>
          <w:bCs/>
          <w:b/>
        </w:rPr>
        <w:t xml:space="preserve">R$ 800 billion (≈ US$ 157</w:t>
      </w:r>
      <w:r>
        <w:rPr>
          <w:bCs/>
          <w:b/>
        </w:rPr>
        <w:t xml:space="preserve"> </w:t>
      </w:r>
      <w:r>
        <w:rPr>
          <w:bCs/>
          <w:b/>
        </w:rPr>
        <w:t xml:space="preserve">billion) in active Brazilian rural credit is exposed to four fraud</w:t>
      </w:r>
      <w:r>
        <w:rPr>
          <w:bCs/>
          <w:b/>
        </w:rPr>
        <w:t xml:space="preserve"> </w:t>
      </w:r>
      <w:r>
        <w:rPr>
          <w:bCs/>
          <w:b/>
        </w:rPr>
        <w:t xml:space="preserve">vectors</w:t>
      </w:r>
      <w:r>
        <w:t xml:space="preserve"> </w:t>
      </w:r>
      <w:r>
        <w:t xml:space="preserve">the current paper-based process can’t catch: falsified land</w:t>
      </w:r>
      <w:r>
        <w:t xml:space="preserve"> </w:t>
      </w:r>
      <w:r>
        <w:t xml:space="preserve">area, grain diverted before loan maturity, judicial-recovery used as a</w:t>
      </w:r>
      <w:r>
        <w:t xml:space="preserve"> </w:t>
      </w:r>
      <w:r>
        <w:t xml:space="preserve">collection shield, and deforested land laundered through a</w:t>
      </w:r>
      <w:r>
        <w:t xml:space="preserve"> </w:t>
      </w:r>
      <w:r>
        <w:t xml:space="preserve">“</w:t>
      </w:r>
      <w:r>
        <w:t xml:space="preserve">clean</w:t>
      </w:r>
      <w:r>
        <w:t xml:space="preserve">”</w:t>
      </w:r>
      <w:r>
        <w:t xml:space="preserve"> </w:t>
      </w:r>
      <w:r>
        <w:t xml:space="preserve">CAR.</w:t>
      </w:r>
      <w:r>
        <w:t xml:space="preserve"> </w:t>
      </w:r>
      <w:r>
        <w:t xml:space="preserve">This is a different number from the TAM above — it’s the size of the</w:t>
      </w:r>
      <w:r>
        <w:t xml:space="preserve"> </w:t>
      </w:r>
      <w:r>
        <w:rPr>
          <w:iCs/>
          <w:i/>
        </w:rPr>
        <w:t xml:space="preserve">risk</w:t>
      </w:r>
      <w:r>
        <w:t xml:space="preserve"> </w:t>
      </w:r>
      <w:r>
        <w:t xml:space="preserve">the product mitigates, not the size of the</w:t>
      </w:r>
      <w:r>
        <w:t xml:space="preserve"> </w:t>
      </w:r>
      <w:r>
        <w:rPr>
          <w:iCs/>
          <w:i/>
        </w:rPr>
        <w:t xml:space="preserve">addressable revenue</w:t>
      </w:r>
      <w:r>
        <w:t xml:space="preserve">.</w:t>
      </w:r>
      <w:r>
        <w:t xml:space="preserve"> </w:t>
      </w:r>
      <w:r>
        <w:t xml:space="preserve">Keep these two numbers distinct when presenting; conflating them</w:t>
      </w:r>
      <w:r>
        <w:t xml:space="preserve"> </w:t>
      </w:r>
      <w:r>
        <w:t xml:space="preserve">overstates the market opportunity.</w:t>
      </w:r>
    </w:p>
    <w:bookmarkEnd w:id="27"/>
    <w:bookmarkStart w:id="28" w:name="the-honest-read"/>
    <w:p>
      <w:pPr>
        <w:pStyle w:val="Heading2"/>
      </w:pPr>
      <w:r>
        <w:t xml:space="preserve">The honest read</w:t>
      </w:r>
    </w:p>
    <w:p>
      <w:pPr>
        <w:pStyle w:val="FirstParagraph"/>
      </w:pPr>
      <w:r>
        <w:t xml:space="preserve">The deck’s US$880M/US$125M/US$3M figures are now the official numbers —</w:t>
      </w:r>
      <w:r>
        <w:t xml:space="preserve"> </w:t>
      </w:r>
      <w:r>
        <w:t xml:space="preserve">lead with those. The IBGE/Plano Safra sourcing here exists so that if an</w:t>
      </w:r>
      <w:r>
        <w:t xml:space="preserve"> </w:t>
      </w:r>
      <w:r>
        <w:t xml:space="preserve">investor pressure-tests the deck’s TAM, there’s an independent,</w:t>
      </w:r>
      <w:r>
        <w:t xml:space="preserve"> </w:t>
      </w:r>
      <w:r>
        <w:t xml:space="preserve">source-linked estimate in the same ballpark to point to, rather than</w:t>
      </w:r>
      <w:r>
        <w:t xml:space="preserve"> </w:t>
      </w:r>
      <w:r>
        <w:t xml:space="preserve">just re-asserting the deck’s own number.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Market Research v2.0 | Confidencial | 2026 | Reconciled against the founder’s pitch deck (2026-09-24) | External sources retrieved 2026-09-24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https://amanha.com.br/categoria/brasil/plano-safra-2025-2026-disponibilizara-r-516-2-bilhoes" TargetMode="External" /><Relationship Type="http://schemas.openxmlformats.org/officeDocument/2006/relationships/hyperlink" Id="rId22" Target="https://ftp.ibge.gov.br/Producao_Agricola/Levantamento_Sistematico_da_Producao_Agricola_%5Bmensal%5D/Fasciculo_Indicadores_IBGE/2025/estProdAgri_202508.pdf" TargetMode="External" /><Relationship Type="http://schemas.openxmlformats.org/officeDocument/2006/relationships/hyperlink" Id="rId23" Target="https://jornaldebrasilia.com.br/noticias/economia/safra-2026-alcancara-353-milhoes-de-t-2-maior-que-a-de-2025-afirma-ibge/" TargetMode="External" /><Relationship Type="http://schemas.openxmlformats.org/officeDocument/2006/relationships/hyperlink" Id="rId25" Target="https://oespecialista.safra.com.br/plano-safra-2026-2027-credito-rural-525-bilho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manha.com.br/categoria/brasil/plano-safra-2025-2026-disponibilizara-r-516-2-bilhoes" TargetMode="External" /><Relationship Type="http://schemas.openxmlformats.org/officeDocument/2006/relationships/hyperlink" Id="rId22" Target="https://ftp.ibge.gov.br/Producao_Agricola/Levantamento_Sistematico_da_Producao_Agricola_%5Bmensal%5D/Fasciculo_Indicadores_IBGE/2025/estProdAgri_202508.pdf" TargetMode="External" /><Relationship Type="http://schemas.openxmlformats.org/officeDocument/2006/relationships/hyperlink" Id="rId23" Target="https://jornaldebrasilia.com.br/noticias/economia/safra-2026-alcancara-353-milhoes-de-t-2-maior-que-a-de-2025-afirma-ibge/" TargetMode="External" /><Relationship Type="http://schemas.openxmlformats.org/officeDocument/2006/relationships/hyperlink" Id="rId25" Target="https://oespecialista.safra.com.br/plano-safra-2026-2027-credito-rural-525-bilho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2026-09-24T14:35:02Z</dcterms:created>
  <dcterms:modified xsi:type="dcterms:W3CDTF">2026-09-24T14:35:02Z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