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ales-playbook"/>
    <w:p>
      <w:pPr>
        <w:pStyle w:val="Heading1"/>
      </w:pPr>
      <w:r>
        <w:t xml:space="preserve">Sales Playbook</w:t>
      </w:r>
    </w:p>
    <w:p>
      <w:pPr>
        <w:pStyle w:val="FirstParagraph"/>
      </w:pPr>
      <w:r>
        <w:rPr>
          <w:bCs/>
          <w:b/>
        </w:rPr>
        <w:t xml:space="preserve">Status: 🟡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can wait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per the checklist — not typically needed for a first VC meeting.</w:t>
      </w:r>
    </w:p>
    <w:p>
      <w:pPr>
        <w:pStyle w:val="BodyText"/>
      </w:pPr>
      <w:r>
        <w:t xml:space="preserve">This repo already has a detailed sales playbook at</w:t>
      </w:r>
      <w:r>
        <w:t xml:space="preserve"> </w:t>
      </w:r>
      <w:r>
        <w:rPr>
          <w:rStyle w:val="VerbatimChar"/>
        </w:rPr>
        <w:t xml:space="preserve">playbooks/SALES_PLAYBOOK.md</w:t>
      </w:r>
      <w:r>
        <w:t xml:space="preserve"> </w:t>
      </w:r>
      <w:r>
        <w:t xml:space="preserve">(lead sources, qualification criteria,</w:t>
      </w:r>
      <w:r>
        <w:t xml:space="preserve"> </w:t>
      </w:r>
      <w:r>
        <w:t xml:space="preserve">objection handling, proposal template, negotiation/discount policy,</w:t>
      </w:r>
      <w:r>
        <w:t xml:space="preserve"> </w:t>
      </w:r>
      <w:r>
        <w:t xml:space="preserve">follow-up cadence). It was written for the drone-mission services model.</w:t>
      </w:r>
    </w:p>
    <w:p>
      <w:pPr>
        <w:pStyle w:val="BodyText"/>
      </w:pPr>
      <w:r>
        <w:rPr>
          <w:bCs/>
          <w:b/>
        </w:rPr>
        <w:t xml:space="preserve">Before reusing it for this fundraise’s context</w:t>
      </w:r>
      <w:r>
        <w:t xml:space="preserve">, the following need</w:t>
      </w:r>
      <w:r>
        <w:t xml:space="preserve"> </w:t>
      </w:r>
      <w:r>
        <w:t xml:space="preserve">updating to match the current subscription + survey model and confirmed</w:t>
      </w:r>
      <w:r>
        <w:t xml:space="preserve"> </w:t>
      </w:r>
      <w:r>
        <w:t xml:space="preserve">pipeline:</w:t>
      </w:r>
      <w:r>
        <w:t xml:space="preserve"> </w:t>
      </w:r>
      <w:r>
        <w:t xml:space="preserve">- Pricing references throughout (currently R$/ha mission bands — replace</w:t>
      </w:r>
      <w:r>
        <w:t xml:space="preserve"> </w:t>
      </w:r>
      <w:r>
        <w:t xml:space="preserve">with R$4/ha/year subscription + survey fee, per</w:t>
      </w:r>
      <w:r>
        <w:t xml:space="preserve"> </w:t>
      </w:r>
      <w:r>
        <w:rPr>
          <w:rStyle w:val="VerbatimChar"/>
        </w:rPr>
        <w:t xml:space="preserve">PRICING_MODEL.md</w:t>
      </w:r>
      <w:r>
        <w:t xml:space="preserve">)</w:t>
      </w:r>
      <w:r>
        <w:t xml:space="preserve"> </w:t>
      </w:r>
      <w:r>
        <w:t xml:space="preserve">- Lead sources table — add the consultant/cooperative channel (Thales,</w:t>
      </w:r>
      <w:r>
        <w:t xml:space="preserve"> </w:t>
      </w:r>
      <w:r>
        <w:t xml:space="preserve">Coplacana) as a named, proven source, not just</w:t>
      </w:r>
      <w:r>
        <w:t xml:space="preserve"> </w:t>
      </w:r>
      <w:r>
        <w:t xml:space="preserve">“</w:t>
      </w:r>
      <w:r>
        <w:t xml:space="preserve">indicação</w:t>
      </w:r>
      <w:r>
        <w:t xml:space="preserve">”</w:t>
      </w:r>
      <w:r>
        <w:t xml:space="preserve"> </w:t>
      </w:r>
      <w:r>
        <w:t xml:space="preserve">- Proposal template — adapt for subscription pricing vs. one-off mission</w:t>
      </w:r>
      <w:r>
        <w:t xml:space="preserve"> </w:t>
      </w:r>
      <w:r>
        <w:t xml:space="preserve">pricing</w:t>
      </w:r>
    </w:p>
    <w:p>
      <w:pPr>
        <w:pStyle w:val="BodyText"/>
      </w:pPr>
      <w:r>
        <w:t xml:space="preserve">Per the checklist, this is a</w:t>
      </w:r>
      <w:r>
        <w:t xml:space="preserve"> </w:t>
      </w:r>
      <w:r>
        <w:t xml:space="preserve">“</w:t>
      </w:r>
      <w:r>
        <w:t xml:space="preserve">can wait</w:t>
      </w:r>
      <w:r>
        <w:t xml:space="preserve">”</w:t>
      </w:r>
      <w:r>
        <w:t xml:space="preserve"> </w:t>
      </w:r>
      <w:r>
        <w:t xml:space="preserve">item — not required for the</w:t>
      </w:r>
      <w:r>
        <w:t xml:space="preserve"> </w:t>
      </w:r>
      <w:r>
        <w:t xml:space="preserve">first investor meeting.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AgrosTech — Sales Playbook Note v1.0 | Confidencial | 2026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2026-09-24T14:35:03Z</dcterms:created>
  <dcterms:modified xsi:type="dcterms:W3CDTF">2026-09-24T14:35:03Z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