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oduct-roadmap-next-18-months"/>
    <w:p>
      <w:pPr>
        <w:pStyle w:val="Heading1"/>
      </w:pPr>
      <w:r>
        <w:t xml:space="preserve">Product Roadmap — Next 18 Months</w:t>
      </w:r>
    </w:p>
    <w:p>
      <w:pPr>
        <w:pStyle w:val="FirstParagraph"/>
      </w:pPr>
      <w:r>
        <w:rPr>
          <w:bCs/>
          <w:b/>
        </w:rPr>
        <w:t xml:space="preserve">Status: 🟡 sequencing logic is sound (mirrors the hiring plan and the funded milestones); specific dates are [CONFIRM].</w:t>
      </w:r>
    </w:p>
    <w:p>
      <w:pPr>
        <w:pStyle w:val="BodyText"/>
      </w:pPr>
      <w:r>
        <w:t xml:space="preserve">Tied to what the round funds — see</w:t>
      </w:r>
      <w:r>
        <w:t xml:space="preserve"> </w:t>
      </w:r>
      <w:r>
        <w:rPr>
          <w:rStyle w:val="VerbatimChar"/>
        </w:rPr>
        <w:t xml:space="preserve">04-investment-documents/USE_OF_FUNDS.md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 → 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the interim-CTO gap; harden the enrichment pipeline from simulated (</w:t>
            </w:r>
            <w:r>
              <w:rPr>
                <w:rStyle w:val="VerbatimChar"/>
              </w:rPr>
              <w:t xml:space="preserve">setTimeout</w:t>
            </w:r>
            <w:r>
              <w:t xml:space="preserve">) to live SICAR/SIGEF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 hire (Hiring Plan #1)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M2–M6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named pipeline: Coplacana, Thales’ 30,000 ha (Bahia cacao)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hire (Hiring Plan #3); GTM channel motion (</w:t>
            </w:r>
            <w:r>
              <w:rPr>
                <w:rStyle w:val="VerbatimChar"/>
              </w:rPr>
              <w:t xml:space="preserve">08-gtm-revenue/GTM_STRATEGY.md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M4–M9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the Passaporte de Crédito Rural with at least one bank/cooperative/certifier as accepted credit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maturity + first real B2B (bank/fund) org account in</w:t>
            </w:r>
            <w:r>
              <w:t xml:space="preserve"> </w:t>
            </w:r>
            <w:r>
              <w:rPr>
                <w:rStyle w:val="VerbatimChar"/>
              </w:rPr>
              <w:t xml:space="preserve">saas/supabase/schema.sql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organizations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M9–M18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LIM (land viability index) groundwork begins, per</w:t>
            </w:r>
            <w:r>
              <w:t xml:space="preserve"> </w:t>
            </w:r>
            <w:r>
              <w:rPr>
                <w:rStyle w:val="VerbatimChar"/>
              </w:rPr>
              <w:t xml:space="preserve">01-company-snapshot/LONG_TERM_VISION.md</w:t>
            </w:r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data from Stage 2 install base</w:t>
            </w:r>
          </w:p>
        </w:tc>
      </w:tr>
    </w:tbl>
    <w:p>
      <w:pPr>
        <w:pStyle w:val="BodyText"/>
      </w:pPr>
      <w:r>
        <w:t xml:space="preserve">[CONFIRM — founder to validate/adjust phase boundaries and add any</w:t>
      </w:r>
      <w:r>
        <w:t xml:space="preserve"> </w:t>
      </w:r>
      <w:r>
        <w:t xml:space="preserve">milestones not captured here.]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Roadmap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2026-09-24T14:35:03Z</dcterms:created>
  <dcterms:modified xsi:type="dcterms:W3CDTF">2026-09-24T14:35:03Z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