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349A9" w14:textId="77777777" w:rsidR="006A60E4" w:rsidRDefault="00000000">
      <w:pPr>
        <w:spacing w:before="280" w:after="80"/>
      </w:pPr>
      <w:r>
        <w:rPr>
          <w:rFonts w:ascii="Calibri" w:hAnsi="Calibri"/>
          <w:b/>
          <w:color w:val="102C57"/>
          <w:sz w:val="44"/>
        </w:rPr>
        <w:t>Agrostech: Technical Defensibility &amp; Novel R&amp;D Dossier</w:t>
      </w:r>
    </w:p>
    <w:p w14:paraId="350D8EA5" w14:textId="77777777" w:rsidR="006A60E4" w:rsidRDefault="00000000">
      <w:pPr>
        <w:spacing w:before="240" w:after="60"/>
      </w:pPr>
      <w:r>
        <w:rPr>
          <w:rFonts w:ascii="Calibri" w:hAnsi="Calibri"/>
          <w:b/>
          <w:color w:val="1C6EA4"/>
          <w:sz w:val="32"/>
        </w:rPr>
        <w:t>Executive Whitepaper for SP Ventures &amp; Institutional Rural Credit Underwriters</w:t>
      </w:r>
    </w:p>
    <w:p w14:paraId="642616E6" w14:textId="77777777" w:rsidR="006A60E4" w:rsidRDefault="00000000">
      <w:pPr>
        <w:spacing w:before="40" w:after="80"/>
      </w:pPr>
      <w:r>
        <w:rPr>
          <w:rFonts w:ascii="Calibri" w:hAnsi="Calibri"/>
          <w:b/>
          <w:color w:val="212529"/>
        </w:rPr>
        <w:t>Document ID</w:t>
      </w:r>
      <w:r>
        <w:rPr>
          <w:rFonts w:ascii="Calibri" w:hAnsi="Calibri"/>
          <w:color w:val="212529"/>
        </w:rPr>
        <w:t>: AGRO-RD-2026-DOSSIER-001</w:t>
      </w:r>
    </w:p>
    <w:p w14:paraId="24494FEC" w14:textId="77777777" w:rsidR="006A60E4" w:rsidRDefault="00000000">
      <w:pPr>
        <w:spacing w:before="40" w:after="80"/>
      </w:pPr>
      <w:r>
        <w:rPr>
          <w:rFonts w:ascii="Calibri" w:hAnsi="Calibri"/>
          <w:b/>
          <w:color w:val="212529"/>
        </w:rPr>
        <w:t>Project</w:t>
      </w:r>
      <w:r>
        <w:rPr>
          <w:rFonts w:ascii="Calibri" w:hAnsi="Calibri"/>
          <w:color w:val="212529"/>
        </w:rPr>
        <w:t>: Agrostech Institutional SaaS MVP &amp; Defensible Novel R&amp;D</w:t>
      </w:r>
    </w:p>
    <w:p w14:paraId="2B8BC676" w14:textId="77777777" w:rsidR="006A60E4" w:rsidRDefault="00000000">
      <w:pPr>
        <w:spacing w:before="40" w:after="80"/>
      </w:pPr>
      <w:r>
        <w:rPr>
          <w:rFonts w:ascii="Calibri" w:hAnsi="Calibri"/>
          <w:b/>
          <w:color w:val="212529"/>
        </w:rPr>
        <w:t>Classification</w:t>
      </w:r>
      <w:r>
        <w:rPr>
          <w:rFonts w:ascii="Calibri" w:hAnsi="Calibri"/>
          <w:color w:val="212529"/>
        </w:rPr>
        <w:t>: Proprietary &amp; Confidential // Investment Due Diligence Whitepaper</w:t>
      </w:r>
    </w:p>
    <w:p w14:paraId="2C495969" w14:textId="77777777" w:rsidR="006A60E4" w:rsidRDefault="00000000">
      <w:pPr>
        <w:spacing w:before="40" w:after="80"/>
      </w:pPr>
      <w:r>
        <w:rPr>
          <w:rFonts w:ascii="Calibri" w:hAnsi="Calibri"/>
          <w:b/>
          <w:color w:val="212529"/>
        </w:rPr>
        <w:t>Target Entities</w:t>
      </w:r>
      <w:r>
        <w:rPr>
          <w:rFonts w:ascii="Calibri" w:hAnsi="Calibri"/>
          <w:color w:val="212529"/>
        </w:rPr>
        <w:t>: SP Ventures Investment Committee, Rural Credit Risk Desks (Banco do Brasil, Sicredi, Cresol, Fiagros), Ag-Barter Trading Desks (Cargill, Bunge, ADM)</w:t>
      </w:r>
    </w:p>
    <w:p w14:paraId="14F7E1FF" w14:textId="77777777" w:rsidR="006A60E4" w:rsidRDefault="00000000">
      <w:pPr>
        <w:spacing w:before="40" w:after="80"/>
      </w:pPr>
      <w:r>
        <w:rPr>
          <w:rFonts w:ascii="Calibri" w:hAnsi="Calibri"/>
          <w:b/>
          <w:color w:val="212529"/>
        </w:rPr>
        <w:t>Financing Structure</w:t>
      </w:r>
      <w:r>
        <w:rPr>
          <w:rFonts w:ascii="Calibri" w:hAnsi="Calibri"/>
          <w:color w:val="212529"/>
        </w:rPr>
        <w:t>: Seed Round — US$ 600,000 SAFE @ US$ 4,000,000 Post-Money Valuation Cap (20% Discount)</w:t>
      </w:r>
    </w:p>
    <w:p w14:paraId="04A5A6BE" w14:textId="77777777" w:rsidR="006A60E4" w:rsidRDefault="00000000">
      <w:pPr>
        <w:spacing w:before="40" w:after="80"/>
      </w:pPr>
      <w:r>
        <w:rPr>
          <w:rFonts w:ascii="Calibri" w:hAnsi="Calibri"/>
          <w:b/>
          <w:color w:val="212529"/>
        </w:rPr>
        <w:t>Date of Issuance</w:t>
      </w:r>
      <w:r>
        <w:rPr>
          <w:rFonts w:ascii="Calibri" w:hAnsi="Calibri"/>
          <w:color w:val="212529"/>
        </w:rPr>
        <w:t>: 2026-10-01</w:t>
      </w:r>
    </w:p>
    <w:p w14:paraId="61FA75DA" w14:textId="77777777" w:rsidR="006A60E4" w:rsidRDefault="00000000">
      <w:pPr>
        <w:spacing w:before="40" w:after="80"/>
      </w:pPr>
      <w:r>
        <w:rPr>
          <w:rFonts w:ascii="Calibri" w:hAnsi="Calibri"/>
          <w:b/>
          <w:color w:val="212529"/>
        </w:rPr>
        <w:t>Author</w:t>
      </w:r>
      <w:r>
        <w:rPr>
          <w:rFonts w:ascii="Calibri" w:hAnsi="Calibri"/>
          <w:color w:val="212529"/>
        </w:rPr>
        <w:t>: Agrostech Core R&amp;D &amp; Executive Group</w:t>
      </w:r>
    </w:p>
    <w:p w14:paraId="60881A30" w14:textId="77777777" w:rsidR="006A60E4" w:rsidRDefault="006A60E4">
      <w:pPr>
        <w:pBdr>
          <w:bottom w:val="single" w:sz="8" w:space="1" w:color="D0D5DD"/>
        </w:pBdr>
        <w:spacing w:before="120" w:after="120"/>
      </w:pPr>
    </w:p>
    <w:tbl>
      <w:tblPr>
        <w:tblW w:w="0" w:type="auto"/>
        <w:jc w:val="center"/>
        <w:tblLook w:val="04A0" w:firstRow="1" w:lastRow="0" w:firstColumn="1" w:lastColumn="0" w:noHBand="0" w:noVBand="1"/>
      </w:tblPr>
      <w:tblGrid>
        <w:gridCol w:w="9936"/>
      </w:tblGrid>
      <w:tr w:rsidR="006A60E4" w14:paraId="1ACA3388" w14:textId="77777777">
        <w:trPr>
          <w:jc w:val="center"/>
        </w:trPr>
        <w:tc>
          <w:tcPr>
            <w:tcW w:w="9936" w:type="dxa"/>
            <w:shd w:val="clear" w:color="auto" w:fill="F8F9FA"/>
            <w:tcMar>
              <w:top w:w="140" w:type="dxa"/>
              <w:left w:w="200" w:type="dxa"/>
              <w:bottom w:w="140" w:type="dxa"/>
              <w:right w:w="200" w:type="dxa"/>
            </w:tcMar>
          </w:tcPr>
          <w:p w14:paraId="60619627" w14:textId="77777777" w:rsidR="006A60E4" w:rsidRDefault="00000000">
            <w:pPr>
              <w:spacing w:before="40" w:after="40"/>
            </w:pPr>
            <w:r>
              <w:rPr>
                <w:rFonts w:ascii="Consolas" w:hAnsi="Consolas"/>
                <w:color w:val="1E293B"/>
                <w:sz w:val="17"/>
              </w:rPr>
              <w:t>┌────────────────────────────────────────────────────────────────────────────────────────┐</w:t>
            </w:r>
            <w:r>
              <w:rPr>
                <w:rFonts w:ascii="Consolas" w:hAnsi="Consolas"/>
                <w:color w:val="1E293B"/>
                <w:sz w:val="17"/>
              </w:rPr>
              <w:br/>
              <w:t>│                        AGROSTECH NOVEL R&amp;D DOSSIER: AT A GLANCE                        │</w:t>
            </w:r>
            <w:r>
              <w:rPr>
                <w:rFonts w:ascii="Consolas" w:hAnsi="Consolas"/>
                <w:color w:val="1E293B"/>
                <w:sz w:val="17"/>
              </w:rPr>
              <w:br/>
              <w:t>├────────────────────────────────────────────────────────────────────────────────────────┤</w:t>
            </w:r>
            <w:r>
              <w:rPr>
                <w:rFonts w:ascii="Consolas" w:hAnsi="Consolas"/>
                <w:color w:val="1E293B"/>
                <w:sz w:val="17"/>
              </w:rPr>
              <w:br/>
              <w:t>│  REGULATORY TIMING: Mandatory compliance under BCB Resolução CMN nº 5.267/2025         │</w:t>
            </w:r>
            <w:r>
              <w:rPr>
                <w:rFonts w:ascii="Consolas" w:hAnsi="Consolas"/>
                <w:color w:val="1E293B"/>
                <w:sz w:val="17"/>
              </w:rPr>
              <w:br/>
              <w:t>│  effective March 1, 2026; MAPA ZarcNM (IN 2/2025); Forest Code (Lei 12.651/2012).      │</w:t>
            </w:r>
            <w:r>
              <w:rPr>
                <w:rFonts w:ascii="Consolas" w:hAnsi="Consolas"/>
                <w:color w:val="1E293B"/>
                <w:sz w:val="17"/>
              </w:rPr>
              <w:br/>
              <w:t>│                                                                                        │</w:t>
            </w:r>
            <w:r>
              <w:rPr>
                <w:rFonts w:ascii="Consolas" w:hAnsi="Consolas"/>
                <w:color w:val="1E293B"/>
                <w:sz w:val="17"/>
              </w:rPr>
              <w:br/>
              <w:t>│  THREE PATENTABLE R&amp;D PILLARS:                                                         │</w:t>
            </w:r>
            <w:r>
              <w:rPr>
                <w:rFonts w:ascii="Consolas" w:hAnsi="Consolas"/>
                <w:color w:val="1E293B"/>
                <w:sz w:val="17"/>
              </w:rPr>
              <w:br/>
              <w:t>│  1. Área Contínua Multi-Feature Synchrony Fusion (Cross-cadastral credit audit)        │</w:t>
            </w:r>
            <w:r>
              <w:rPr>
                <w:rFonts w:ascii="Consolas" w:hAnsi="Consolas"/>
                <w:color w:val="1E293B"/>
                <w:sz w:val="17"/>
              </w:rPr>
              <w:br/>
              <w:t>│  2. Decision-Theoretic Value-of-Information (VoI) UAV Drone Dispatch Engine            │</w:t>
            </w:r>
            <w:r>
              <w:rPr>
                <w:rFonts w:ascii="Consolas" w:hAnsi="Consolas"/>
                <w:color w:val="1E293B"/>
                <w:sz w:val="17"/>
              </w:rPr>
              <w:br/>
              <w:t>│  3. Uncertainty-Aware Probabilistic Hydrology &amp; Soil Erosion Mechanics (SCS-CN DTM)   │</w:t>
            </w:r>
            <w:r>
              <w:rPr>
                <w:rFonts w:ascii="Consolas" w:hAnsi="Consolas"/>
                <w:color w:val="1E293B"/>
                <w:sz w:val="17"/>
              </w:rPr>
              <w:br/>
              <w:t>│                                                                                        │</w:t>
            </w:r>
            <w:r>
              <w:rPr>
                <w:rFonts w:ascii="Consolas" w:hAnsi="Consolas"/>
                <w:color w:val="1E293B"/>
                <w:sz w:val="17"/>
              </w:rPr>
              <w:br/>
              <w:t>│  VALIDATED BENCHMARK ADVANTAGES:                                                       │</w:t>
            </w:r>
            <w:r>
              <w:rPr>
                <w:rFonts w:ascii="Consolas" w:hAnsi="Consolas"/>
                <w:color w:val="1E293B"/>
                <w:sz w:val="17"/>
              </w:rPr>
              <w:br/>
              <w:t>│  • Área Contínua: 100% AUC vs 50% Baseline (eliminates 100% false split rate).         │</w:t>
            </w:r>
            <w:r>
              <w:rPr>
                <w:rFonts w:ascii="Consolas" w:hAnsi="Consolas"/>
                <w:color w:val="1E293B"/>
                <w:sz w:val="17"/>
              </w:rPr>
              <w:br/>
              <w:t>│  • VoI Drone Trigger: +50.1% Net Economic Value (R$ 661.4/ha); cuts latency to 4.24d   │</w:t>
            </w:r>
            <w:r>
              <w:rPr>
                <w:rFonts w:ascii="Consolas" w:hAnsi="Consolas"/>
                <w:color w:val="1E293B"/>
                <w:sz w:val="17"/>
              </w:rPr>
              <w:br/>
              <w:t>│  • Probabilistic SCS-CN: Slashes terrace breach misclassification from 100.0% to 0.0%  │</w:t>
            </w:r>
            <w:r>
              <w:rPr>
                <w:rFonts w:ascii="Consolas" w:hAnsi="Consolas"/>
                <w:color w:val="1E293B"/>
                <w:sz w:val="17"/>
              </w:rPr>
              <w:br/>
              <w:t>│                                                                                        │</w:t>
            </w:r>
            <w:r>
              <w:rPr>
                <w:rFonts w:ascii="Consolas" w:hAnsi="Consolas"/>
                <w:color w:val="1E293B"/>
                <w:sz w:val="17"/>
              </w:rPr>
              <w:br/>
              <w:t>│  INTELLECTUAL PROPERTY MOAT:                                                           │</w:t>
            </w:r>
            <w:r>
              <w:rPr>
                <w:rFonts w:ascii="Consolas" w:hAnsi="Consolas"/>
                <w:color w:val="1E293B"/>
                <w:sz w:val="17"/>
              </w:rPr>
              <w:br/>
              <w:t>│  • INPI Computer-Implemented Inventions (Portaria 411/2020) + Green Patents Fast-Track │</w:t>
            </w:r>
            <w:r>
              <w:rPr>
                <w:rFonts w:ascii="Consolas" w:hAnsi="Consolas"/>
                <w:color w:val="1E293B"/>
                <w:sz w:val="17"/>
              </w:rPr>
              <w:br/>
              <w:t>│  • International PCT Expansion (USPTO, EPO, INPI AR) + Trade Secret Calibration Enclave│</w:t>
            </w:r>
            <w:r>
              <w:rPr>
                <w:rFonts w:ascii="Consolas" w:hAnsi="Consolas"/>
                <w:color w:val="1E293B"/>
                <w:sz w:val="17"/>
              </w:rPr>
              <w:br/>
              <w:t>│                                                                                        │</w:t>
            </w:r>
            <w:r>
              <w:rPr>
                <w:rFonts w:ascii="Consolas" w:hAnsi="Consolas"/>
                <w:color w:val="1E293B"/>
                <w:sz w:val="17"/>
              </w:rPr>
              <w:br/>
              <w:t>│  INVESTMENT ASK: US$ 600K SAFE @ US$ 4M Cap to execute 12-month pilot to scale roadmap│</w:t>
            </w:r>
            <w:r>
              <w:rPr>
                <w:rFonts w:ascii="Consolas" w:hAnsi="Consolas"/>
                <w:color w:val="1E293B"/>
                <w:sz w:val="17"/>
              </w:rPr>
              <w:br/>
              <w:t>└────────────────────────────────────────────────────────────────────────────────────────┘</w:t>
            </w:r>
          </w:p>
        </w:tc>
      </w:tr>
    </w:tbl>
    <w:p w14:paraId="5A27A852" w14:textId="77777777" w:rsidR="006A60E4" w:rsidRDefault="006A60E4">
      <w:pPr>
        <w:spacing w:after="80"/>
      </w:pPr>
    </w:p>
    <w:p w14:paraId="3E71294E" w14:textId="77777777" w:rsidR="006A60E4" w:rsidRDefault="006A60E4">
      <w:pPr>
        <w:pBdr>
          <w:bottom w:val="single" w:sz="8" w:space="1" w:color="D0D5DD"/>
        </w:pBdr>
        <w:spacing w:before="120" w:after="120"/>
      </w:pPr>
    </w:p>
    <w:p w14:paraId="3291D7C2" w14:textId="77777777" w:rsidR="007922DC" w:rsidRDefault="007922DC">
      <w:pPr>
        <w:pBdr>
          <w:bottom w:val="single" w:sz="8" w:space="1" w:color="D0D5DD"/>
        </w:pBdr>
        <w:spacing w:before="120" w:after="120"/>
      </w:pPr>
    </w:p>
    <w:p w14:paraId="164A752C" w14:textId="77777777" w:rsidR="006A60E4" w:rsidRDefault="00000000">
      <w:pPr>
        <w:spacing w:before="240" w:after="60"/>
      </w:pPr>
      <w:r>
        <w:rPr>
          <w:rFonts w:ascii="Calibri" w:hAnsi="Calibri"/>
          <w:b/>
          <w:color w:val="1C6EA4"/>
          <w:sz w:val="32"/>
        </w:rPr>
        <w:lastRenderedPageBreak/>
        <w:t>1. Executive Summary &amp; Investment Thesis</w:t>
      </w:r>
    </w:p>
    <w:p w14:paraId="417DD8AC" w14:textId="77777777" w:rsidR="006A60E4" w:rsidRDefault="00000000">
      <w:pPr>
        <w:spacing w:before="200" w:after="40"/>
      </w:pPr>
      <w:r>
        <w:rPr>
          <w:rFonts w:ascii="Calibri" w:hAnsi="Calibri"/>
          <w:b/>
          <w:color w:val="102C57"/>
          <w:sz w:val="26"/>
        </w:rPr>
        <w:t>1.1 Market Inflection: The Regulatory Forcing Function</w:t>
      </w:r>
    </w:p>
    <w:p w14:paraId="13EE2776" w14:textId="77777777" w:rsidR="006A60E4" w:rsidRDefault="00000000">
      <w:pPr>
        <w:spacing w:before="40" w:after="80"/>
      </w:pPr>
      <w:r>
        <w:rPr>
          <w:rFonts w:ascii="Calibri" w:hAnsi="Calibri"/>
          <w:color w:val="212529"/>
        </w:rPr>
        <w:t>The Brazilian agricultural credit system (</w:t>
      </w:r>
      <w:r>
        <w:rPr>
          <w:rFonts w:ascii="Calibri" w:hAnsi="Calibri"/>
          <w:i/>
          <w:color w:val="212529"/>
        </w:rPr>
        <w:t>Sistema Nacional de Crédito Rural - SNCR</w:t>
      </w:r>
      <w:r>
        <w:rPr>
          <w:rFonts w:ascii="Calibri" w:hAnsi="Calibri"/>
          <w:color w:val="212529"/>
        </w:rPr>
        <w:t xml:space="preserve">) disburses over </w:t>
      </w:r>
      <w:r>
        <w:rPr>
          <w:rFonts w:ascii="Calibri" w:hAnsi="Calibri"/>
          <w:b/>
          <w:color w:val="212529"/>
        </w:rPr>
        <w:t>R$ 400 Billion annually</w:t>
      </w:r>
      <w:r>
        <w:rPr>
          <w:rFonts w:ascii="Calibri" w:hAnsi="Calibri"/>
          <w:color w:val="212529"/>
        </w:rPr>
        <w:t xml:space="preserve"> across more than 5.8 million rural properties registered in the Rural Environmental Registry (</w:t>
      </w:r>
      <w:r>
        <w:rPr>
          <w:rFonts w:ascii="Calibri" w:hAnsi="Calibri"/>
          <w:i/>
          <w:color w:val="212529"/>
        </w:rPr>
        <w:t>SICAR</w:t>
      </w:r>
      <w:r>
        <w:rPr>
          <w:rFonts w:ascii="Calibri" w:hAnsi="Calibri"/>
          <w:color w:val="212529"/>
        </w:rPr>
        <w:t>). Historically, environmental and agronomic compliance was verified via static, self-declared paperwork and one-time satellite snapshots at loan disbursement.</w:t>
      </w:r>
    </w:p>
    <w:p w14:paraId="326C9FB4" w14:textId="77777777" w:rsidR="006A60E4" w:rsidRDefault="00000000">
      <w:pPr>
        <w:spacing w:before="40" w:after="80"/>
      </w:pPr>
      <w:r>
        <w:rPr>
          <w:rFonts w:ascii="Calibri" w:hAnsi="Calibri"/>
          <w:color w:val="212529"/>
        </w:rPr>
        <w:t xml:space="preserve">This compliance paradigm collapsed on </w:t>
      </w:r>
      <w:r>
        <w:rPr>
          <w:rFonts w:ascii="Calibri" w:hAnsi="Calibri"/>
          <w:b/>
          <w:color w:val="212529"/>
        </w:rPr>
        <w:t>November 28, 2025</w:t>
      </w:r>
      <w:r>
        <w:rPr>
          <w:rFonts w:ascii="Calibri" w:hAnsi="Calibri"/>
          <w:color w:val="212529"/>
        </w:rPr>
        <w:t>, when the National Monetary Council (</w:t>
      </w:r>
      <w:r>
        <w:rPr>
          <w:rFonts w:ascii="Calibri" w:hAnsi="Calibri"/>
          <w:i/>
          <w:color w:val="212529"/>
        </w:rPr>
        <w:t>CMN</w:t>
      </w:r>
      <w:r>
        <w:rPr>
          <w:rFonts w:ascii="Calibri" w:hAnsi="Calibri"/>
          <w:color w:val="212529"/>
        </w:rPr>
        <w:t>) and the Central Bank of Brazil (</w:t>
      </w:r>
      <w:r>
        <w:rPr>
          <w:rFonts w:ascii="Calibri" w:hAnsi="Calibri"/>
          <w:i/>
          <w:color w:val="212529"/>
        </w:rPr>
        <w:t>Banco Central do Brasil - BCB</w:t>
      </w:r>
      <w:r>
        <w:rPr>
          <w:rFonts w:ascii="Calibri" w:hAnsi="Calibri"/>
          <w:color w:val="212529"/>
        </w:rPr>
        <w:t xml:space="preserve">) enacted </w:t>
      </w:r>
      <w:r>
        <w:rPr>
          <w:rFonts w:ascii="Calibri" w:hAnsi="Calibri"/>
          <w:b/>
          <w:color w:val="212529"/>
        </w:rPr>
        <w:t>Resolução CMN nº 5.267</w:t>
      </w:r>
      <w:r>
        <w:rPr>
          <w:rFonts w:ascii="Calibri" w:hAnsi="Calibri"/>
          <w:color w:val="212529"/>
        </w:rPr>
        <w:t xml:space="preserve">, mandating strict statutory compliance starting </w:t>
      </w:r>
      <w:r>
        <w:rPr>
          <w:rFonts w:ascii="Calibri" w:hAnsi="Calibri"/>
          <w:b/>
          <w:color w:val="212529"/>
        </w:rPr>
        <w:t>March 1, 2026</w:t>
      </w:r>
      <w:r>
        <w:rPr>
          <w:rFonts w:ascii="Calibri" w:hAnsi="Calibri"/>
          <w:color w:val="212529"/>
        </w:rPr>
        <w:t>:</w:t>
      </w:r>
    </w:p>
    <w:p w14:paraId="0C377AF6" w14:textId="77777777" w:rsidR="006A60E4" w:rsidRDefault="00000000">
      <w:pPr>
        <w:pStyle w:val="Numerada"/>
        <w:spacing w:before="20" w:after="40"/>
      </w:pPr>
      <w:r>
        <w:rPr>
          <w:rFonts w:ascii="Calibri" w:hAnsi="Calibri"/>
          <w:b/>
          <w:color w:val="212529"/>
        </w:rPr>
        <w:t>Mandatory Continuous Remote Sensing</w:t>
      </w:r>
      <w:r>
        <w:rPr>
          <w:rFonts w:ascii="Calibri" w:hAnsi="Calibri"/>
          <w:color w:val="212529"/>
        </w:rPr>
        <w:t xml:space="preserve">: Financial institutions must conduct continuous remote sensing inspections across the entire crop lifecycle for all rural credit operations exceeding </w:t>
      </w:r>
      <w:r>
        <w:rPr>
          <w:rFonts w:ascii="Calibri" w:hAnsi="Calibri"/>
          <w:b/>
          <w:color w:val="212529"/>
        </w:rPr>
        <w:t>300 hectares</w:t>
      </w:r>
      <w:r>
        <w:rPr>
          <w:rFonts w:ascii="Calibri" w:hAnsi="Calibri"/>
          <w:color w:val="212529"/>
        </w:rPr>
        <w:t>.</w:t>
      </w:r>
    </w:p>
    <w:p w14:paraId="4774D62E" w14:textId="77777777" w:rsidR="006A60E4" w:rsidRDefault="00000000">
      <w:pPr>
        <w:pStyle w:val="Numerada"/>
        <w:spacing w:before="20" w:after="40"/>
      </w:pPr>
      <w:r>
        <w:rPr>
          <w:rFonts w:ascii="Calibri" w:hAnsi="Calibri"/>
          <w:b/>
          <w:color w:val="212529"/>
        </w:rPr>
        <w:t>"Responsabilidade Institucional Indelegável"</w:t>
      </w:r>
      <w:r>
        <w:rPr>
          <w:rFonts w:ascii="Calibri" w:hAnsi="Calibri"/>
          <w:color w:val="212529"/>
        </w:rPr>
        <w:t>: The doctrine of non-delegable institutional responsibility legally binds banks. Relying on third-party certifiers does not shield lenders from direct regulatory fines, civil liability, and the mandatory loss of subsidized funding equalization (</w:t>
      </w:r>
      <w:r>
        <w:rPr>
          <w:rFonts w:ascii="Calibri" w:hAnsi="Calibri"/>
          <w:i/>
          <w:color w:val="212529"/>
        </w:rPr>
        <w:t>taxa equalizável</w:t>
      </w:r>
      <w:r>
        <w:rPr>
          <w:rFonts w:ascii="Calibri" w:hAnsi="Calibri"/>
          <w:color w:val="212529"/>
        </w:rPr>
        <w:t>).</w:t>
      </w:r>
    </w:p>
    <w:p w14:paraId="68497FFF" w14:textId="77777777" w:rsidR="006A60E4" w:rsidRPr="007922DC" w:rsidRDefault="00000000">
      <w:pPr>
        <w:pStyle w:val="Numerada"/>
        <w:spacing w:before="20" w:after="40"/>
      </w:pPr>
      <w:r>
        <w:rPr>
          <w:rFonts w:ascii="Calibri" w:hAnsi="Calibri"/>
          <w:b/>
          <w:color w:val="212529"/>
        </w:rPr>
        <w:t>The "Área Contínua ao Empreendimento" Mandate</w:t>
      </w:r>
      <w:r>
        <w:rPr>
          <w:rFonts w:ascii="Calibri" w:hAnsi="Calibri"/>
          <w:color w:val="212529"/>
        </w:rPr>
        <w:t>: Remote sensing audits must encompass the entire contiguous operational area, explicitly piercing through artificial cadastral boundaries to ensure that credit resources are applied strictly to the financed enterprise.</w:t>
      </w:r>
    </w:p>
    <w:p w14:paraId="77BE8C74" w14:textId="77777777" w:rsidR="007922DC" w:rsidRDefault="007922DC">
      <w:pPr>
        <w:pStyle w:val="Numerada"/>
        <w:spacing w:before="20" w:after="40"/>
      </w:pPr>
    </w:p>
    <w:p w14:paraId="66C038F2" w14:textId="77777777" w:rsidR="006A60E4" w:rsidRDefault="00000000">
      <w:pPr>
        <w:spacing w:before="40" w:after="80"/>
      </w:pPr>
      <w:r>
        <w:rPr>
          <w:rFonts w:ascii="Calibri" w:hAnsi="Calibri"/>
          <w:color w:val="212529"/>
        </w:rPr>
        <w:t>Simultaneously, the Ministry of Agriculture (</w:t>
      </w:r>
      <w:r>
        <w:rPr>
          <w:rFonts w:ascii="Calibri" w:hAnsi="Calibri"/>
          <w:i/>
          <w:color w:val="212529"/>
        </w:rPr>
        <w:t>MAPA</w:t>
      </w:r>
      <w:r>
        <w:rPr>
          <w:rFonts w:ascii="Calibri" w:hAnsi="Calibri"/>
          <w:color w:val="212529"/>
        </w:rPr>
        <w:t xml:space="preserve">) enacted </w:t>
      </w:r>
      <w:r>
        <w:rPr>
          <w:rFonts w:ascii="Calibri" w:hAnsi="Calibri"/>
          <w:b/>
          <w:color w:val="212529"/>
        </w:rPr>
        <w:t>Instrução Normativa SPA/MAPA nº 2/2025 (ZarcNM)</w:t>
      </w:r>
      <w:r>
        <w:rPr>
          <w:rFonts w:ascii="Calibri" w:hAnsi="Calibri"/>
          <w:color w:val="212529"/>
        </w:rPr>
        <w:t>, establishing four management tiers (NM1 to NM4) and requiring mandatory contour planting (</w:t>
      </w:r>
      <w:r>
        <w:rPr>
          <w:rFonts w:ascii="Calibri" w:hAnsi="Calibri"/>
          <w:i/>
          <w:color w:val="212529"/>
        </w:rPr>
        <w:t>semeadura em nível</w:t>
      </w:r>
      <w:r>
        <w:rPr>
          <w:rFonts w:ascii="Calibri" w:hAnsi="Calibri"/>
          <w:color w:val="212529"/>
        </w:rPr>
        <w:t xml:space="preserve">) on all slopes </w:t>
      </w:r>
      <w:r>
        <w:rPr>
          <w:rFonts w:ascii="Calibri" w:hAnsi="Calibri"/>
          <w:b/>
          <w:color w:val="212529"/>
        </w:rPr>
        <w:t>&gt; 3%</w:t>
      </w:r>
      <w:r>
        <w:rPr>
          <w:rFonts w:ascii="Calibri" w:hAnsi="Calibri"/>
          <w:color w:val="212529"/>
        </w:rPr>
        <w:t xml:space="preserve"> to qualify for subsidized insurance premiums (PSR/Proagro).</w:t>
      </w:r>
    </w:p>
    <w:p w14:paraId="7755778C" w14:textId="77777777" w:rsidR="006A60E4" w:rsidRDefault="00000000">
      <w:pPr>
        <w:spacing w:before="200" w:after="40"/>
      </w:pPr>
      <w:r>
        <w:rPr>
          <w:rFonts w:ascii="Calibri" w:hAnsi="Calibri"/>
          <w:b/>
          <w:color w:val="102C57"/>
          <w:sz w:val="26"/>
        </w:rPr>
        <w:t>1.2 The Technological Void in Legacy Agtech</w:t>
      </w:r>
    </w:p>
    <w:p w14:paraId="24D83BAF" w14:textId="77777777" w:rsidR="006A60E4" w:rsidRDefault="00000000">
      <w:pPr>
        <w:spacing w:before="40" w:after="80"/>
      </w:pPr>
      <w:r>
        <w:rPr>
          <w:rFonts w:ascii="Calibri" w:hAnsi="Calibri"/>
          <w:color w:val="212529"/>
        </w:rPr>
        <w:t>Existing agtech and remote sensing vendors are fundamentally incapable of satisfying this new regulatory mandate:</w:t>
      </w:r>
    </w:p>
    <w:p w14:paraId="16766BF0" w14:textId="77777777" w:rsidR="006A60E4" w:rsidRDefault="00000000">
      <w:pPr>
        <w:pStyle w:val="Commarcadores"/>
        <w:spacing w:before="20" w:after="40"/>
      </w:pPr>
      <w:r>
        <w:rPr>
          <w:rFonts w:ascii="Calibri" w:hAnsi="Calibri"/>
          <w:b/>
          <w:color w:val="212529"/>
        </w:rPr>
        <w:t>Cadastral Blindness</w:t>
      </w:r>
      <w:r>
        <w:rPr>
          <w:rFonts w:ascii="Calibri" w:hAnsi="Calibri"/>
          <w:color w:val="212529"/>
        </w:rPr>
        <w:t xml:space="preserve">: Legacy platforms clip satellite imagery strictly to the single cadastral polygon (CAR) listed on the loan contract, committing massive </w:t>
      </w:r>
      <w:r>
        <w:rPr>
          <w:rFonts w:ascii="Calibri" w:hAnsi="Calibri"/>
          <w:b/>
          <w:color w:val="212529"/>
        </w:rPr>
        <w:t>False Split errors (Type II)</w:t>
      </w:r>
      <w:r>
        <w:rPr>
          <w:rFonts w:ascii="Calibri" w:hAnsi="Calibri"/>
          <w:color w:val="212529"/>
        </w:rPr>
        <w:t>. Dishonest borrowers exploit this by splitting 1,200 ha farms into four 299 ha CARs to evade audits, or pledging pristine 200 ha parcels while applying the credit to adjacent embargoed or public lands.</w:t>
      </w:r>
    </w:p>
    <w:p w14:paraId="581794FA" w14:textId="77777777" w:rsidR="006A60E4" w:rsidRDefault="00000000">
      <w:pPr>
        <w:pStyle w:val="Commarcadores"/>
        <w:spacing w:before="20" w:after="40"/>
      </w:pPr>
      <w:r>
        <w:rPr>
          <w:rFonts w:ascii="Calibri" w:hAnsi="Calibri"/>
          <w:b/>
          <w:color w:val="212529"/>
        </w:rPr>
        <w:t>Unoptimized Drone Economics</w:t>
      </w:r>
      <w:r>
        <w:rPr>
          <w:rFonts w:ascii="Calibri" w:hAnsi="Calibri"/>
          <w:color w:val="212529"/>
        </w:rPr>
        <w:t>: Commercial UAV scouting remains trapped in rigid bi-weekly calendar flights (wasting R$ 80-140/ha/year on clear fields) or naive NDVI threshold alarms that trigger false mobilizations on cloud shadows.</w:t>
      </w:r>
    </w:p>
    <w:p w14:paraId="1BBB1CE7" w14:textId="77777777" w:rsidR="006A60E4" w:rsidRDefault="00000000">
      <w:pPr>
        <w:pStyle w:val="Commarcadores"/>
        <w:spacing w:before="20" w:after="40"/>
      </w:pPr>
      <w:r>
        <w:rPr>
          <w:rFonts w:ascii="Calibri" w:hAnsi="Calibri"/>
          <w:b/>
          <w:color w:val="212529"/>
        </w:rPr>
        <w:t>Brittle Hydrology</w:t>
      </w:r>
      <w:r>
        <w:rPr>
          <w:rFonts w:ascii="Calibri" w:hAnsi="Calibri"/>
          <w:color w:val="212529"/>
        </w:rPr>
        <w:t>: Standard agricultural drainage and terracing software (Climate Corp, Trimble, ArcGIS) relies on deterministic single-run digital elevation models. Photogrammetric vertical noise ($\pm 20\text{--}40\text{ cm}$) causes "flow-flipping" on gentle Cerrado slopes ($1.5\%\text{--}4\%$), leading to severely undersized contour terraces that overtop, blow out, and form catastrophic erosion gullies (</w:t>
      </w:r>
      <w:r>
        <w:rPr>
          <w:rFonts w:ascii="Calibri" w:hAnsi="Calibri"/>
          <w:i/>
          <w:color w:val="212529"/>
        </w:rPr>
        <w:t>voçorocas</w:t>
      </w:r>
      <w:r>
        <w:rPr>
          <w:rFonts w:ascii="Calibri" w:hAnsi="Calibri"/>
          <w:color w:val="212529"/>
        </w:rPr>
        <w:t>), destroying land collateral value and violating MCR 2-9.</w:t>
      </w:r>
    </w:p>
    <w:p w14:paraId="74509AD6" w14:textId="77777777" w:rsidR="006A60E4" w:rsidRDefault="00000000">
      <w:pPr>
        <w:spacing w:before="200" w:after="40"/>
      </w:pPr>
      <w:r>
        <w:rPr>
          <w:rFonts w:ascii="Calibri" w:hAnsi="Calibri"/>
          <w:b/>
          <w:color w:val="102C57"/>
          <w:sz w:val="26"/>
        </w:rPr>
        <w:t>1.3 Agrostech’s Defensible Solution</w:t>
      </w:r>
    </w:p>
    <w:p w14:paraId="53510A8A" w14:textId="77777777" w:rsidR="006A60E4" w:rsidRDefault="00000000">
      <w:pPr>
        <w:spacing w:before="40" w:after="80"/>
      </w:pPr>
      <w:r>
        <w:rPr>
          <w:rFonts w:ascii="Calibri" w:hAnsi="Calibri"/>
          <w:color w:val="212529"/>
        </w:rPr>
        <w:t>Agrostech has engineered three proprietary, mathematically rigorous technologies that transform regulatory compliance from a bank cost center into a high-margin underwriting moat:</w:t>
      </w:r>
    </w:p>
    <w:p w14:paraId="670E2147" w14:textId="77777777" w:rsidR="006A60E4" w:rsidRDefault="00000000">
      <w:pPr>
        <w:pStyle w:val="Numerada"/>
        <w:spacing w:before="20" w:after="40"/>
      </w:pPr>
      <w:r>
        <w:rPr>
          <w:rFonts w:ascii="Calibri" w:hAnsi="Calibri"/>
          <w:b/>
          <w:color w:val="212529"/>
        </w:rPr>
        <w:lastRenderedPageBreak/>
        <w:t>Área Contínua Multi-Feature Synchrony Fusion</w:t>
      </w:r>
      <w:r>
        <w:rPr>
          <w:rFonts w:ascii="Calibri" w:hAnsi="Calibri"/>
          <w:color w:val="212529"/>
        </w:rPr>
        <w:t>: Fuses optical phenology DTW, Sentinel-1/NISAR SAR backscatter and InSAR coherence, circular crop-row axial statistics, and boundary barrier permeability into a calibrated logistic posterior probability $P(\text{Continuous Operation} \mid A, B)$, proving cross-border operational consolidation under CMN 5.267.</w:t>
      </w:r>
    </w:p>
    <w:p w14:paraId="241F9622" w14:textId="77777777" w:rsidR="006A60E4" w:rsidRDefault="00000000">
      <w:pPr>
        <w:pStyle w:val="Numerada"/>
        <w:spacing w:before="20" w:after="40"/>
      </w:pPr>
      <w:r>
        <w:rPr>
          <w:rFonts w:ascii="Calibri" w:hAnsi="Calibri"/>
          <w:b/>
          <w:color w:val="212529"/>
        </w:rPr>
        <w:t>Decision-Theoretic Value-of-Information (VoI) UAV Dispatch Engine</w:t>
      </w:r>
      <w:r>
        <w:rPr>
          <w:rFonts w:ascii="Calibri" w:hAnsi="Calibri"/>
          <w:color w:val="212529"/>
        </w:rPr>
        <w:t>: A formal expected utility model balancing outstanding loan exposure ($E_{\text{credit}}$), phenological vulnerability ($V(t)$), numerical weather cloud forecasts ($P_{\text{cloud}}$), and marginal flight costs ($C_{\text{flight}}$), flying drones only when the information pays for itself ($\text{NVoI} &gt; 0$).</w:t>
      </w:r>
    </w:p>
    <w:p w14:paraId="6ACF5B0F" w14:textId="77777777" w:rsidR="006A60E4" w:rsidRDefault="00000000">
      <w:pPr>
        <w:pStyle w:val="Numerada"/>
        <w:spacing w:before="20" w:after="40"/>
      </w:pPr>
      <w:r>
        <w:rPr>
          <w:rFonts w:ascii="Calibri" w:hAnsi="Calibri"/>
          <w:b/>
          <w:color w:val="212529"/>
        </w:rPr>
        <w:t>Uncertainty-Aware Probabilistic Hydrology &amp; Erosion Mechanics</w:t>
      </w:r>
      <w:r>
        <w:rPr>
          <w:rFonts w:ascii="Calibri" w:hAnsi="Calibri"/>
          <w:color w:val="212529"/>
        </w:rPr>
        <w:t>: Distributed Monte Carlo perturbation over spatially correlated Gaussian Random Field elevation errors, propagating vertical variance through distributed SCS-CN flow routing to generate per-pixel runoff exceedance surfaces and terrace overtopping failure probabilities ($P_{\text{overtop}}$).</w:t>
      </w:r>
    </w:p>
    <w:p w14:paraId="2FE53DF2" w14:textId="77777777" w:rsidR="006A60E4" w:rsidRDefault="00000000">
      <w:pPr>
        <w:spacing w:before="200" w:after="40"/>
      </w:pPr>
      <w:r>
        <w:rPr>
          <w:rFonts w:ascii="Calibri" w:hAnsi="Calibri"/>
          <w:b/>
          <w:color w:val="102C57"/>
          <w:sz w:val="26"/>
        </w:rPr>
        <w:t>1.4 Investment Ask &amp; Capital Deployment</w:t>
      </w:r>
    </w:p>
    <w:p w14:paraId="08862B2F" w14:textId="77777777" w:rsidR="006A60E4" w:rsidRDefault="00000000">
      <w:pPr>
        <w:spacing w:before="40" w:after="80"/>
      </w:pPr>
      <w:r>
        <w:rPr>
          <w:rFonts w:ascii="Calibri" w:hAnsi="Calibri"/>
          <w:color w:val="212529"/>
        </w:rPr>
        <w:t xml:space="preserve">Agrostech is raising </w:t>
      </w:r>
      <w:r>
        <w:rPr>
          <w:rFonts w:ascii="Calibri" w:hAnsi="Calibri"/>
          <w:b/>
          <w:color w:val="212529"/>
        </w:rPr>
        <w:t>US$ 600,000 via a SAFE instrument at a US$ 4,000,000 post-money valuation cap (20% discount)</w:t>
      </w:r>
      <w:r>
        <w:rPr>
          <w:rFonts w:ascii="Calibri" w:hAnsi="Calibri"/>
          <w:color w:val="212529"/>
        </w:rPr>
        <w:t>. Capital will be allocated over a 12-month milestone-gated roadmap:</w:t>
      </w:r>
    </w:p>
    <w:p w14:paraId="1E335B61" w14:textId="77777777" w:rsidR="006A60E4" w:rsidRDefault="00000000">
      <w:pPr>
        <w:pStyle w:val="Commarcadores"/>
        <w:spacing w:before="20" w:after="40"/>
      </w:pPr>
      <w:r>
        <w:rPr>
          <w:rFonts w:ascii="Calibri" w:hAnsi="Calibri"/>
          <w:b/>
          <w:color w:val="212529"/>
        </w:rPr>
        <w:t>45% Engineering &amp; Data Science</w:t>
      </w:r>
      <w:r>
        <w:rPr>
          <w:rFonts w:ascii="Calibri" w:hAnsi="Calibri"/>
          <w:color w:val="212529"/>
        </w:rPr>
        <w:t>: Productionization of microservices, InSAR coherence pipeline, and GIS cloud infrastructure.</w:t>
      </w:r>
    </w:p>
    <w:p w14:paraId="33455FA5" w14:textId="77777777" w:rsidR="006A60E4" w:rsidRDefault="00000000">
      <w:pPr>
        <w:pStyle w:val="Commarcadores"/>
        <w:spacing w:before="20" w:after="40"/>
      </w:pPr>
      <w:r>
        <w:rPr>
          <w:rFonts w:ascii="Calibri" w:hAnsi="Calibri"/>
          <w:b/>
          <w:color w:val="212529"/>
        </w:rPr>
        <w:t>30% Ground-Truth Pilots &amp; Field Hardware</w:t>
      </w:r>
      <w:r>
        <w:rPr>
          <w:rFonts w:ascii="Calibri" w:hAnsi="Calibri"/>
          <w:color w:val="212529"/>
        </w:rPr>
        <w:t>: RTK GNSS base networks, telemetric rain gauges, and UAV flight trials in Mato Grosso and Western Bahia.</w:t>
      </w:r>
    </w:p>
    <w:p w14:paraId="07731AC1" w14:textId="77777777" w:rsidR="006A60E4" w:rsidRDefault="00000000">
      <w:pPr>
        <w:pStyle w:val="Commarcadores"/>
        <w:spacing w:before="20" w:after="40"/>
      </w:pPr>
      <w:r>
        <w:rPr>
          <w:rFonts w:ascii="Calibri" w:hAnsi="Calibri"/>
          <w:b/>
          <w:color w:val="212529"/>
        </w:rPr>
        <w:t>15% Regulatory &amp; IP Prosecution</w:t>
      </w:r>
      <w:r>
        <w:rPr>
          <w:rFonts w:ascii="Calibri" w:hAnsi="Calibri"/>
          <w:color w:val="212529"/>
        </w:rPr>
        <w:t xml:space="preserve">: Filing three priority patent applications at INPI via the </w:t>
      </w:r>
      <w:r>
        <w:rPr>
          <w:rFonts w:ascii="Calibri" w:hAnsi="Calibri"/>
          <w:i/>
          <w:color w:val="212529"/>
        </w:rPr>
        <w:t>Patentes Verdes</w:t>
      </w:r>
      <w:r>
        <w:rPr>
          <w:rFonts w:ascii="Calibri" w:hAnsi="Calibri"/>
          <w:color w:val="212529"/>
        </w:rPr>
        <w:t xml:space="preserve"> fast-track docket, PCT international extensions, and ICP-Brasil compliance certifications.</w:t>
      </w:r>
    </w:p>
    <w:p w14:paraId="65D62179" w14:textId="77777777" w:rsidR="006A60E4" w:rsidRDefault="00000000">
      <w:pPr>
        <w:pStyle w:val="Commarcadores"/>
        <w:spacing w:before="20" w:after="40"/>
      </w:pPr>
      <w:r>
        <w:rPr>
          <w:rFonts w:ascii="Calibri" w:hAnsi="Calibri"/>
          <w:b/>
          <w:color w:val="212529"/>
        </w:rPr>
        <w:t>10% Working Capital &amp; Enterprise Business Development</w:t>
      </w:r>
      <w:r>
        <w:rPr>
          <w:rFonts w:ascii="Calibri" w:hAnsi="Calibri"/>
          <w:color w:val="212529"/>
        </w:rPr>
        <w:t>: Securing commercial pilot contracts with top-tier ag-lenders (Banco do Brasil, Sicredi, Cresol, Fiagros).</w:t>
      </w:r>
    </w:p>
    <w:p w14:paraId="62CF041C" w14:textId="77777777" w:rsidR="006A60E4" w:rsidRDefault="006A60E4">
      <w:pPr>
        <w:pBdr>
          <w:bottom w:val="single" w:sz="8" w:space="1" w:color="D0D5DD"/>
        </w:pBdr>
        <w:spacing w:before="120" w:after="120"/>
      </w:pPr>
    </w:p>
    <w:p w14:paraId="3ADD8841" w14:textId="77777777" w:rsidR="006A60E4" w:rsidRDefault="00000000">
      <w:pPr>
        <w:spacing w:before="240" w:after="60"/>
      </w:pPr>
      <w:r>
        <w:rPr>
          <w:rFonts w:ascii="Calibri" w:hAnsi="Calibri"/>
          <w:b/>
          <w:color w:val="1C6EA4"/>
          <w:sz w:val="32"/>
        </w:rPr>
        <w:t>2. The Three Defensible Pillars (Technical &amp; Mathematical Breakdown)</w:t>
      </w:r>
    </w:p>
    <w:tbl>
      <w:tblPr>
        <w:tblW w:w="0" w:type="auto"/>
        <w:jc w:val="center"/>
        <w:tblLook w:val="04A0" w:firstRow="1" w:lastRow="0" w:firstColumn="1" w:lastColumn="0" w:noHBand="0" w:noVBand="1"/>
      </w:tblPr>
      <w:tblGrid>
        <w:gridCol w:w="9936"/>
      </w:tblGrid>
      <w:tr w:rsidR="006A60E4" w14:paraId="08BEC635" w14:textId="77777777">
        <w:trPr>
          <w:jc w:val="center"/>
        </w:trPr>
        <w:tc>
          <w:tcPr>
            <w:tcW w:w="9936" w:type="dxa"/>
            <w:shd w:val="clear" w:color="auto" w:fill="F8F9FA"/>
            <w:tcMar>
              <w:top w:w="140" w:type="dxa"/>
              <w:left w:w="200" w:type="dxa"/>
              <w:bottom w:w="140" w:type="dxa"/>
              <w:right w:w="200" w:type="dxa"/>
            </w:tcMar>
          </w:tcPr>
          <w:p w14:paraId="5FC0F689" w14:textId="7E13DC5D" w:rsidR="006A60E4" w:rsidRDefault="00000000">
            <w:pPr>
              <w:spacing w:before="40" w:after="40"/>
            </w:pPr>
            <w:r>
              <w:rPr>
                <w:rFonts w:ascii="Consolas" w:hAnsi="Consolas"/>
                <w:color w:val="1E293B"/>
                <w:sz w:val="17"/>
              </w:rPr>
              <w:t>┌────────────────────────────────────────────────────────────────────────────────────────┐</w:t>
            </w:r>
            <w:r>
              <w:rPr>
                <w:rFonts w:ascii="Consolas" w:hAnsi="Consolas"/>
                <w:color w:val="1E293B"/>
                <w:sz w:val="17"/>
              </w:rPr>
              <w:br/>
              <w:t>│                        AGROSTECH THREE DEFENSIBLE R&amp;D PILLARS                          │</w:t>
            </w:r>
            <w:r>
              <w:rPr>
                <w:rFonts w:ascii="Consolas" w:hAnsi="Consolas"/>
                <w:color w:val="1E293B"/>
                <w:sz w:val="17"/>
              </w:rPr>
              <w:br/>
              <w:t>├──────────────────────────┬─────────────────────────────┬───────────────────────────────┤</w:t>
            </w:r>
            <w:r>
              <w:rPr>
                <w:rFonts w:ascii="Consolas" w:hAnsi="Consolas"/>
                <w:color w:val="1E293B"/>
                <w:sz w:val="17"/>
              </w:rPr>
              <w:br/>
              <w:t>│ PILLAR 1: ÁREA CONTÍNUA  │ PILLAR 2: VoI DRONE TRIGGER │ PILLAR 3: PROBABILISTIC DTM   │</w:t>
            </w:r>
            <w:r>
              <w:rPr>
                <w:rFonts w:ascii="Consolas" w:hAnsi="Consolas"/>
                <w:color w:val="1E293B"/>
                <w:sz w:val="17"/>
              </w:rPr>
              <w:br/>
              <w:t>├──────────────────────────┼─────────────────────────────┼───────────────────────────────┤</w:t>
            </w:r>
            <w:r>
              <w:rPr>
                <w:rFonts w:ascii="Consolas" w:hAnsi="Consolas"/>
                <w:color w:val="1E293B"/>
                <w:sz w:val="17"/>
              </w:rPr>
              <w:br/>
              <w:t>│ • Cross-Cadastral Fusion │ • Decision-Theoretic Engine │ • Spatial Monte Carlo DTM     │</w:t>
            </w:r>
            <w:r>
              <w:rPr>
                <w:rFonts w:ascii="Consolas" w:hAnsi="Consolas"/>
                <w:color w:val="1E293B"/>
                <w:sz w:val="17"/>
              </w:rPr>
              <w:br/>
              <w:t>│ • 5 Orthogonal Features  │ • Multi-State Bayesian Risk │ • Canopy-Conditioned Noise    │</w:t>
            </w:r>
            <w:r>
              <w:rPr>
                <w:rFonts w:ascii="Consolas" w:hAnsi="Consolas"/>
                <w:color w:val="1E293B"/>
                <w:sz w:val="17"/>
              </w:rPr>
              <w:br/>
              <w:t>│ • InSAR Coherence + SAR  │ • Weather Cloud Forecasting │ • Tropical Oxisol Hydrology   │</w:t>
            </w:r>
            <w:r>
              <w:rPr>
                <w:rFonts w:ascii="Consolas" w:hAnsi="Consolas"/>
                <w:color w:val="1E293B"/>
                <w:sz w:val="17"/>
              </w:rPr>
              <w:br/>
              <w:t>│ • Circular Row Azimuth   │ • Phenological Multiplier   │ • Terrace Overtopping Failure │</w:t>
            </w:r>
            <w:r>
              <w:rPr>
                <w:rFonts w:ascii="Consolas" w:hAnsi="Consolas"/>
                <w:color w:val="1E293B"/>
                <w:sz w:val="17"/>
              </w:rPr>
              <w:br/>
              <w:t>│ • Graph Consolidation    │ • Marginal Cost Allocation  │ • 3D Forest Code APP Check    │</w:t>
            </w:r>
            <w:r>
              <w:rPr>
                <w:rFonts w:ascii="Consolas" w:hAnsi="Consolas"/>
                <w:color w:val="1E293B"/>
                <w:sz w:val="17"/>
              </w:rPr>
              <w:br/>
              <w:t>└──────────────────────────┴─────────────────────────────┴───────────────────────────────┘</w:t>
            </w:r>
          </w:p>
        </w:tc>
      </w:tr>
    </w:tbl>
    <w:p w14:paraId="19C689F7" w14:textId="77777777" w:rsidR="006A60E4" w:rsidRDefault="006A60E4">
      <w:pPr>
        <w:spacing w:after="80"/>
      </w:pPr>
    </w:p>
    <w:p w14:paraId="70A790BC" w14:textId="77777777" w:rsidR="006A60E4" w:rsidRDefault="006A60E4">
      <w:pPr>
        <w:pBdr>
          <w:bottom w:val="single" w:sz="8" w:space="1" w:color="D0D5DD"/>
        </w:pBdr>
        <w:spacing w:before="120" w:after="120"/>
      </w:pPr>
    </w:p>
    <w:p w14:paraId="67686B7D" w14:textId="77777777" w:rsidR="006A60E4" w:rsidRDefault="00000000">
      <w:pPr>
        <w:spacing w:before="200" w:after="40"/>
      </w:pPr>
      <w:r>
        <w:rPr>
          <w:rFonts w:ascii="Calibri" w:hAnsi="Calibri"/>
          <w:b/>
          <w:color w:val="102C57"/>
          <w:sz w:val="26"/>
        </w:rPr>
        <w:t>2.1 Pillar 1: Área Contínua Multi-Feature Synchrony Fusion</w:t>
      </w:r>
    </w:p>
    <w:p w14:paraId="2BF08988" w14:textId="77777777" w:rsidR="006A60E4" w:rsidRDefault="00000000">
      <w:pPr>
        <w:spacing w:before="160" w:after="40"/>
      </w:pPr>
      <w:r>
        <w:rPr>
          <w:rFonts w:ascii="Calibri" w:hAnsi="Calibri"/>
          <w:b/>
          <w:color w:val="1C6EA4"/>
        </w:rPr>
        <w:t>Operational Vector &amp; Regulatory Context</w:t>
      </w:r>
    </w:p>
    <w:p w14:paraId="45D8E831" w14:textId="77777777" w:rsidR="006A60E4" w:rsidRDefault="00000000">
      <w:pPr>
        <w:spacing w:before="40" w:after="80"/>
      </w:pPr>
      <w:r>
        <w:rPr>
          <w:rFonts w:ascii="Calibri" w:hAnsi="Calibri"/>
          <w:color w:val="212529"/>
        </w:rPr>
        <w:lastRenderedPageBreak/>
        <w:t>Under CMN Resolução nº 5.267/2025, borrowers routinely circumvent the 300 ha mandatory remote sensing threshold by partitioning large holdings into smaller legal parcels registered under separate family members or shell companies. Alternatively, borrowers pledge a compliant parcel while farming adjacent embargoed land.</w:t>
      </w:r>
    </w:p>
    <w:p w14:paraId="2D508C13" w14:textId="77777777" w:rsidR="006A60E4" w:rsidRDefault="00000000">
      <w:pPr>
        <w:spacing w:before="40" w:after="80"/>
      </w:pPr>
      <w:r>
        <w:rPr>
          <w:rFonts w:ascii="Calibri" w:hAnsi="Calibri"/>
          <w:color w:val="212529"/>
        </w:rPr>
        <w:t>Agrostech’s engine evaluates adjacent cadastral polygons $\Omega_A, \Omega_B$ sharing boundary $\Gamma_{AB} = \partial \Omega_A \cap \partial \Omega_B$ ($\mathcal{H}^1(\Gamma_{AB}) \ge 10\text{ m}$) across five physical, non-visual feature dimensions:</w:t>
      </w:r>
    </w:p>
    <w:tbl>
      <w:tblPr>
        <w:tblW w:w="0" w:type="auto"/>
        <w:jc w:val="center"/>
        <w:tblLook w:val="04A0" w:firstRow="1" w:lastRow="0" w:firstColumn="1" w:lastColumn="0" w:noHBand="0" w:noVBand="1"/>
      </w:tblPr>
      <w:tblGrid>
        <w:gridCol w:w="9936"/>
      </w:tblGrid>
      <w:tr w:rsidR="006A60E4" w14:paraId="40D7E3BE" w14:textId="77777777">
        <w:trPr>
          <w:jc w:val="center"/>
        </w:trPr>
        <w:tc>
          <w:tcPr>
            <w:tcW w:w="9936" w:type="dxa"/>
            <w:shd w:val="clear" w:color="auto" w:fill="F8F9FA"/>
            <w:tcMar>
              <w:top w:w="140" w:type="dxa"/>
              <w:left w:w="200" w:type="dxa"/>
              <w:bottom w:w="140" w:type="dxa"/>
              <w:right w:w="200" w:type="dxa"/>
            </w:tcMar>
          </w:tcPr>
          <w:p w14:paraId="061A7A71" w14:textId="77777777" w:rsidR="006A60E4" w:rsidRDefault="00000000">
            <w:pPr>
              <w:spacing w:before="40" w:after="40"/>
            </w:pPr>
            <w:r>
              <w:rPr>
                <w:rFonts w:ascii="Consolas" w:hAnsi="Consolas"/>
                <w:color w:val="1E293B"/>
                <w:sz w:val="17"/>
              </w:rPr>
              <w:t xml:space="preserve">                                  ┌─────────────────────────────┐</w:t>
            </w:r>
            <w:r>
              <w:rPr>
                <w:rFonts w:ascii="Consolas" w:hAnsi="Consolas"/>
                <w:color w:val="1E293B"/>
                <w:sz w:val="17"/>
              </w:rPr>
              <w:br/>
              <w:t xml:space="preserve">                                  │      CAR A  &amp;  CAR B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                             │</w:t>
            </w:r>
            <w:r>
              <w:rPr>
                <w:rFonts w:ascii="Consolas" w:hAnsi="Consolas"/>
                <w:color w:val="1E293B"/>
                <w:sz w:val="17"/>
              </w:rPr>
              <w:br/>
              <w:t xml:space="preserve">                   ▼                             ▼                             ▼</w:t>
            </w:r>
            <w:r>
              <w:rPr>
                <w:rFonts w:ascii="Consolas" w:hAnsi="Consolas"/>
                <w:color w:val="1E293B"/>
                <w:sz w:val="17"/>
              </w:rPr>
              <w:br/>
              <w:t xml:space="preserve">       ┌──────────────────────┐      ┌──────────────────────┐      ┌──────────────────────┐</w:t>
            </w:r>
            <w:r>
              <w:rPr>
                <w:rFonts w:ascii="Consolas" w:hAnsi="Consolas"/>
                <w:color w:val="1E293B"/>
                <w:sz w:val="17"/>
              </w:rPr>
              <w:br/>
              <w:t xml:space="preserve">       │ Boundary Permeability│      │ Phenology &amp; Events   │      │ Dual-Track SAR Sync  │</w:t>
            </w:r>
            <w:r>
              <w:rPr>
                <w:rFonts w:ascii="Consolas" w:hAnsi="Consolas"/>
                <w:color w:val="1E293B"/>
                <w:sz w:val="17"/>
              </w:rPr>
              <w:br/>
              <w:t xml:space="preserve">       │ S_perm: Contrast of  │      │ S_pheno: DTW &amp; Corr  │      │ S_SAR: C-Band RTC &amp;  │</w:t>
            </w:r>
            <w:r>
              <w:rPr>
                <w:rFonts w:ascii="Consolas" w:hAnsi="Consolas"/>
                <w:color w:val="1E293B"/>
                <w:sz w:val="17"/>
              </w:rPr>
              <w:br/>
              <w:t xml:space="preserve">       │ barrier gradient     │      │ S_event: Inflections │      │ InSAR Coherence Δγ   │</w:t>
            </w:r>
            <w:r>
              <w:rPr>
                <w:rFonts w:ascii="Consolas" w:hAnsi="Consolas"/>
                <w:color w:val="1E293B"/>
                <w:sz w:val="17"/>
              </w:rPr>
              <w:br/>
              <w:t xml:space="preserve">       └───────────┬──────────┘      └───────────┬──────────┘      └───────────┬──────────┘</w:t>
            </w:r>
            <w:r>
              <w:rPr>
                <w:rFonts w:ascii="Consolas" w:hAnsi="Consolas"/>
                <w:color w:val="1E293B"/>
                <w:sz w:val="17"/>
              </w:rPr>
              <w:br/>
              <w:t xml:space="preserve">                   │                             │                             │</w:t>
            </w:r>
            <w:r>
              <w:rPr>
                <w:rFonts w:ascii="Consolas" w:hAnsi="Consolas"/>
                <w:color w:val="1E293B"/>
                <w:sz w:val="17"/>
              </w:rPr>
              <w:br/>
              <w:t xml:space="preserve">                   └──────────────────────┐      │      ┌──────────────────────┘</w:t>
            </w:r>
            <w:r>
              <w:rPr>
                <w:rFonts w:ascii="Consolas" w:hAnsi="Consolas"/>
                <w:color w:val="1E293B"/>
                <w:sz w:val="17"/>
              </w:rPr>
              <w:br/>
              <w:t xml:space="preserve">                                          ▼      ▼      ▼</w:t>
            </w:r>
            <w:r>
              <w:rPr>
                <w:rFonts w:ascii="Consolas" w:hAnsi="Consolas"/>
                <w:color w:val="1E293B"/>
                <w:sz w:val="17"/>
              </w:rPr>
              <w:br/>
              <w:t xml:space="preserve">                               ┌───────────────────────────────────┐</w:t>
            </w:r>
            <w:r>
              <w:rPr>
                <w:rFonts w:ascii="Consolas" w:hAnsi="Consolas"/>
                <w:color w:val="1E293B"/>
                <w:sz w:val="17"/>
              </w:rPr>
              <w:br/>
              <w:t xml:space="preserve">                               │ Crop Row Azimuth Alignment        │</w:t>
            </w:r>
            <w:r>
              <w:rPr>
                <w:rFonts w:ascii="Consolas" w:hAnsi="Consolas"/>
                <w:color w:val="1E293B"/>
                <w:sz w:val="17"/>
              </w:rPr>
              <w:br/>
              <w:t xml:space="preserve">                               │ S_azimuth: Circular mod π angles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Calibrated Logistic Fusion Model  │</w:t>
            </w:r>
            <w:r>
              <w:rPr>
                <w:rFonts w:ascii="Consolas" w:hAnsi="Consolas"/>
                <w:color w:val="1E293B"/>
                <w:sz w:val="17"/>
              </w:rPr>
              <w:br/>
              <w:t xml:space="preserve">                               │ P(Cont | A, B) = σ(w^T x_AB + b)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Graph Transitive Consolidation    │</w:t>
            </w:r>
            <w:r>
              <w:rPr>
                <w:rFonts w:ascii="Consolas" w:hAnsi="Consolas"/>
                <w:color w:val="1E293B"/>
                <w:sz w:val="17"/>
              </w:rPr>
              <w:br/>
              <w:t xml:space="preserve">                               │ Total Area &gt; 300 ha ──&gt; Audit     │</w:t>
            </w:r>
            <w:r>
              <w:rPr>
                <w:rFonts w:ascii="Consolas" w:hAnsi="Consolas"/>
                <w:color w:val="1E293B"/>
                <w:sz w:val="17"/>
              </w:rPr>
              <w:br/>
              <w:t xml:space="preserve">                               └───────────────────────────────────┘</w:t>
            </w:r>
          </w:p>
        </w:tc>
      </w:tr>
    </w:tbl>
    <w:p w14:paraId="3548CDAF" w14:textId="77777777" w:rsidR="006A60E4" w:rsidRDefault="006A60E4">
      <w:pPr>
        <w:spacing w:after="80"/>
      </w:pPr>
    </w:p>
    <w:p w14:paraId="45078E5D" w14:textId="77777777" w:rsidR="006A60E4" w:rsidRDefault="00000000">
      <w:pPr>
        <w:pStyle w:val="Numerada"/>
        <w:spacing w:before="20" w:after="40"/>
      </w:pPr>
      <w:r>
        <w:rPr>
          <w:rFonts w:ascii="Calibri" w:hAnsi="Calibri"/>
          <w:b/>
          <w:color w:val="212529"/>
        </w:rPr>
        <w:t>Boundary Permeability ($S_{\text{perm}}$)</w:t>
      </w:r>
      <w:r>
        <w:rPr>
          <w:rFonts w:ascii="Calibri" w:hAnsi="Calibri"/>
          <w:color w:val="212529"/>
        </w:rPr>
        <w:t>: Evaluates high-resolution spatial gradient contrast $\|\nabla \text{NDVI}\|$ within a $10\text{ m}$ boundary strip $U(\Gamma_{AB}, w)$ relative to internal field baselines. Physical fences, windbreaks, and roads generate excess contrast $\bar{\Delta} \gg 0 \implies S_{\text{perm}} = \exp(-\bar{\Delta}^2 / 2\sigma^2) \to 0$. Continuous fields plow through the border $\implies S_{\text{perm}} \to 1.0$.</w:t>
      </w:r>
    </w:p>
    <w:p w14:paraId="4DED4CD1" w14:textId="77777777" w:rsidR="006A60E4" w:rsidRDefault="00000000">
      <w:pPr>
        <w:pStyle w:val="Numerada"/>
        <w:spacing w:before="20" w:after="40"/>
      </w:pPr>
      <w:r>
        <w:rPr>
          <w:rFonts w:ascii="Calibri" w:hAnsi="Calibri"/>
          <w:b/>
          <w:color w:val="212529"/>
        </w:rPr>
        <w:t>Phenological Time-Series Similarity ($S_{\text{pheno}}, S_{\text{event}}$)</w:t>
      </w:r>
      <w:r>
        <w:rPr>
          <w:rFonts w:ascii="Calibri" w:hAnsi="Calibri"/>
          <w:color w:val="212529"/>
        </w:rPr>
        <w:t>: Pearson correlation $\rho_{\text{pheno}}$ and Sakoe-Chiba constrained Dynamic Time Warping ($D_{\text{DTW}}$) on regularized 5-day Sentinel-2 NDVI time series, plus inflection date synchrony ($\Delta t_{\text{plant}}, \Delta t_{\text{harvest}}$):</w:t>
      </w:r>
    </w:p>
    <w:p w14:paraId="23A8CF42" w14:textId="77777777" w:rsidR="006A60E4" w:rsidRDefault="00000000">
      <w:pPr>
        <w:spacing w:before="40" w:after="80"/>
      </w:pPr>
      <w:r>
        <w:rPr>
          <w:rFonts w:ascii="Calibri" w:hAnsi="Calibri"/>
          <w:color w:val="212529"/>
        </w:rPr>
        <w:t>$$S_{\text{event}} = \exp\left(-\frac{\Delta t_{\text{plant}}^2 + \Delta t_{\text{harvest}}^2}{2 \tau_{\text{sync}}^2}\right) \in [0, 1]$$</w:t>
      </w:r>
    </w:p>
    <w:p w14:paraId="1E23EEF2" w14:textId="77777777" w:rsidR="006A60E4" w:rsidRDefault="00000000">
      <w:pPr>
        <w:pStyle w:val="Numerada"/>
        <w:spacing w:before="20" w:after="40"/>
      </w:pPr>
      <w:r>
        <w:rPr>
          <w:rFonts w:ascii="Calibri" w:hAnsi="Calibri"/>
          <w:b/>
          <w:color w:val="212529"/>
        </w:rPr>
        <w:lastRenderedPageBreak/>
        <w:t>All-Weather SAR Backscatter &amp; InSAR Coherence ($S_{\text{SAR}}$)</w:t>
      </w:r>
      <w:r>
        <w:rPr>
          <w:rFonts w:ascii="Calibri" w:hAnsi="Calibri"/>
          <w:color w:val="212529"/>
        </w:rPr>
        <w:t>: Radiometrically terrain-corrected $\gamma^0_{VH}$ cross-polarization curves and 12-day repeat-pass complex interferometric phase coherence $\gamma_{\text{InSAR}} = |\langle s_1 s_2^* \rangle| / \sqrt{\langle |s_1|^2 \rangle \langle |s_2|^2 \rangle}$. Tillage and harvesting cause complete decorrelation ($\gamma \to 0$), enabling cloud-penetrating synchrony verification.</w:t>
      </w:r>
    </w:p>
    <w:p w14:paraId="639276D4" w14:textId="77777777" w:rsidR="006A60E4" w:rsidRDefault="00000000">
      <w:pPr>
        <w:pStyle w:val="Numerada"/>
        <w:spacing w:before="20" w:after="40"/>
      </w:pPr>
      <w:r>
        <w:rPr>
          <w:rFonts w:ascii="Calibri" w:hAnsi="Calibri"/>
          <w:b/>
          <w:color w:val="212529"/>
        </w:rPr>
        <w:t>Circular Axial Statistics of Crop Row Azimuth ($S_{\text{azimuth}}$)</w:t>
      </w:r>
      <w:r>
        <w:rPr>
          <w:rFonts w:ascii="Calibri" w:hAnsi="Calibri"/>
          <w:color w:val="212529"/>
        </w:rPr>
        <w:t>: Directional image intensity gradients mapped to circular axial distributions ($\theta \pmod \pi$):</w:t>
      </w:r>
    </w:p>
    <w:p w14:paraId="04E596B5" w14:textId="77777777" w:rsidR="006A60E4" w:rsidRDefault="00000000">
      <w:pPr>
        <w:spacing w:before="40" w:after="80"/>
      </w:pPr>
      <w:r>
        <w:rPr>
          <w:rFonts w:ascii="Calibri" w:hAnsi="Calibri"/>
          <w:color w:val="212529"/>
        </w:rPr>
        <w:t>$$\bar{\theta} = \frac{1}{2}\operatorname{atan2}(\bar{S}, \bar{C}), \quad \bar{R} = \sqrt{\bar{C}^2 + \bar{S}^2}$$</w:t>
      </w:r>
    </w:p>
    <w:p w14:paraId="76D3629C" w14:textId="77777777" w:rsidR="006A60E4" w:rsidRDefault="00000000">
      <w:pPr>
        <w:spacing w:before="40" w:after="80"/>
      </w:pPr>
      <w:r>
        <w:rPr>
          <w:rFonts w:ascii="Calibri" w:hAnsi="Calibri"/>
          <w:color w:val="212529"/>
        </w:rPr>
        <w:t>$$S_{\text{azimuth}} = \cos^2(\Delta \theta_{AB}) \cdot \sqrt{\bar{R}_A \bar{R}_B} \in [0, 1]$$</w:t>
      </w:r>
    </w:p>
    <w:p w14:paraId="267AF81B" w14:textId="77777777" w:rsidR="006A60E4" w:rsidRDefault="00000000">
      <w:pPr>
        <w:spacing w:before="40" w:after="80"/>
      </w:pPr>
      <w:r>
        <w:rPr>
          <w:rFonts w:ascii="Calibri" w:hAnsi="Calibri"/>
          <w:color w:val="212529"/>
        </w:rPr>
        <w:t>Tractors utilizing auto-steer RTK GPS maintain identical heading vectors across the boundary ($\Delta \theta = 0 \implies S_{\text{azimuth}} \to 1.0$).</w:t>
      </w:r>
    </w:p>
    <w:p w14:paraId="568CD9FB" w14:textId="77777777" w:rsidR="006A60E4" w:rsidRDefault="00000000">
      <w:pPr>
        <w:pStyle w:val="Numerada"/>
        <w:spacing w:before="20" w:after="40"/>
      </w:pPr>
      <w:r>
        <w:rPr>
          <w:rFonts w:ascii="Calibri" w:hAnsi="Calibri"/>
          <w:b/>
          <w:color w:val="212529"/>
        </w:rPr>
        <w:t>Calibrated Logistic Model &amp; Graph Consolidation</w:t>
      </w:r>
      <w:r>
        <w:rPr>
          <w:rFonts w:ascii="Calibri" w:hAnsi="Calibri"/>
          <w:color w:val="212529"/>
        </w:rPr>
        <w:t>:</w:t>
      </w:r>
    </w:p>
    <w:p w14:paraId="74935888" w14:textId="77777777" w:rsidR="006A60E4" w:rsidRDefault="00000000">
      <w:pPr>
        <w:spacing w:before="40" w:after="80"/>
      </w:pPr>
      <w:r>
        <w:rPr>
          <w:rFonts w:ascii="Calibri" w:hAnsi="Calibri"/>
          <w:color w:val="212529"/>
        </w:rPr>
        <w:t>$$P(\text{Continuous Operation} \mid A, B) = \frac{1}{1 + \exp\left(-\left(\mathbf{w}^T \mathbf{x}_{AB} + b\right)\right)}$$</w:t>
      </w:r>
    </w:p>
    <w:p w14:paraId="53B85E41" w14:textId="77777777" w:rsidR="006A60E4" w:rsidRDefault="00000000">
      <w:pPr>
        <w:spacing w:before="40" w:after="80"/>
      </w:pPr>
      <w:r>
        <w:rPr>
          <w:rFonts w:ascii="Calibri" w:hAnsi="Calibri"/>
          <w:color w:val="212529"/>
        </w:rPr>
        <w:t>Weights $\mathbf{w} = [2.2, 1.8, 2.5, 2.0, 1.5]^T$, $b = -4.50$. Parcels exhibiting $P \ge 0.70$ form connected components in an adjacency graph, consolidating total plantable area to enforce the 300 ha threshold.</w:t>
      </w:r>
    </w:p>
    <w:p w14:paraId="6304BF66" w14:textId="77777777" w:rsidR="006A60E4" w:rsidRDefault="006A60E4">
      <w:pPr>
        <w:pBdr>
          <w:bottom w:val="single" w:sz="8" w:space="1" w:color="D0D5DD"/>
        </w:pBdr>
        <w:spacing w:before="120" w:after="120"/>
      </w:pPr>
    </w:p>
    <w:p w14:paraId="482F9973" w14:textId="77777777" w:rsidR="006A60E4" w:rsidRDefault="00000000">
      <w:pPr>
        <w:spacing w:before="200" w:after="40"/>
      </w:pPr>
      <w:r>
        <w:rPr>
          <w:rFonts w:ascii="Calibri" w:hAnsi="Calibri"/>
          <w:b/>
          <w:color w:val="102C57"/>
          <w:sz w:val="26"/>
        </w:rPr>
        <w:t>2.2 Pillar 2: Decision-Theoretic Value-of-Information (VoI) UAV Drone Dispatch Engine</w:t>
      </w:r>
    </w:p>
    <w:p w14:paraId="651EB21B" w14:textId="77777777" w:rsidR="006A60E4" w:rsidRDefault="00000000">
      <w:pPr>
        <w:spacing w:before="160" w:after="40"/>
      </w:pPr>
      <w:r>
        <w:rPr>
          <w:rFonts w:ascii="Calibri" w:hAnsi="Calibri"/>
          <w:b/>
          <w:color w:val="1C6EA4"/>
        </w:rPr>
        <w:t>Operational Dilemma</w:t>
      </w:r>
    </w:p>
    <w:p w14:paraId="65A3B423" w14:textId="77777777" w:rsidR="006A60E4" w:rsidRDefault="00000000">
      <w:pPr>
        <w:spacing w:before="40" w:after="80"/>
      </w:pPr>
      <w:r>
        <w:rPr>
          <w:rFonts w:ascii="Calibri" w:hAnsi="Calibri"/>
          <w:color w:val="212529"/>
        </w:rPr>
        <w:t>Commercial drone scouting in the Cerrado costs R$ 1,500 base mobilization plus R$ 20-25/ha. Flying on a fixed 14-day calendar wastes capital when optical satellites already confirm healthy crops under clear skies; yet if a pest outbreak occurs 2 days after a flight during a cloudy spell, waiting 12 days for the next flight results in irreversible yield collapse.</w:t>
      </w:r>
    </w:p>
    <w:tbl>
      <w:tblPr>
        <w:tblW w:w="0" w:type="auto"/>
        <w:jc w:val="center"/>
        <w:tblLook w:val="04A0" w:firstRow="1" w:lastRow="0" w:firstColumn="1" w:lastColumn="0" w:noHBand="0" w:noVBand="1"/>
      </w:tblPr>
      <w:tblGrid>
        <w:gridCol w:w="9936"/>
      </w:tblGrid>
      <w:tr w:rsidR="006A60E4" w14:paraId="171B54F7" w14:textId="77777777">
        <w:trPr>
          <w:jc w:val="center"/>
        </w:trPr>
        <w:tc>
          <w:tcPr>
            <w:tcW w:w="9936" w:type="dxa"/>
            <w:shd w:val="clear" w:color="auto" w:fill="F8F9FA"/>
            <w:tcMar>
              <w:top w:w="140" w:type="dxa"/>
              <w:left w:w="200" w:type="dxa"/>
              <w:bottom w:w="140" w:type="dxa"/>
              <w:right w:w="200" w:type="dxa"/>
            </w:tcMar>
          </w:tcPr>
          <w:p w14:paraId="544285FE" w14:textId="77777777" w:rsidR="006A60E4" w:rsidRDefault="00000000">
            <w:pPr>
              <w:spacing w:before="40" w:after="40"/>
            </w:pPr>
            <w:r>
              <w:rPr>
                <w:rFonts w:ascii="Consolas" w:hAnsi="Consolas"/>
                <w:color w:val="1E293B"/>
                <w:sz w:val="17"/>
              </w:rPr>
              <w:t xml:space="preserve">                                  ┌─────────────────────────────┐</w:t>
            </w:r>
            <w:r>
              <w:rPr>
                <w:rFonts w:ascii="Consolas" w:hAnsi="Consolas"/>
                <w:color w:val="1E293B"/>
                <w:sz w:val="17"/>
              </w:rPr>
              <w:br/>
              <w:t xml:space="preserve">                                  │      PORTFOLIO TELEMETRY    │</w:t>
            </w:r>
            <w:r>
              <w:rPr>
                <w:rFonts w:ascii="Consolas" w:hAnsi="Consolas"/>
                <w:color w:val="1E293B"/>
                <w:sz w:val="17"/>
              </w:rPr>
              <w:br/>
              <w:t xml:space="preserve">                                  │ • Credit Exposure E_credit  │</w:t>
            </w:r>
            <w:r>
              <w:rPr>
                <w:rFonts w:ascii="Consolas" w:hAnsi="Consolas"/>
                <w:color w:val="1E293B"/>
                <w:sz w:val="17"/>
              </w:rPr>
              <w:br/>
              <w:t xml:space="preserve">                                  │ • Crop Stage DAP ──&gt; V(t)   │</w:t>
            </w:r>
            <w:r>
              <w:rPr>
                <w:rFonts w:ascii="Consolas" w:hAnsi="Consolas"/>
                <w:color w:val="1E293B"/>
                <w:sz w:val="17"/>
              </w:rPr>
              <w:br/>
              <w:t xml:space="preserve">                                  │ • Cloud Forecast P_cloud(t) │</w:t>
            </w:r>
            <w:r>
              <w:rPr>
                <w:rFonts w:ascii="Consolas" w:hAnsi="Consolas"/>
                <w:color w:val="1E293B"/>
                <w:sz w:val="17"/>
              </w:rPr>
              <w:br/>
              <w:t xml:space="preserve">                                  │ • Orbital Data Gap Δt_gap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Bayesian Prior Belief Vector b_t  │</w:t>
            </w:r>
            <w:r>
              <w:rPr>
                <w:rFonts w:ascii="Consolas" w:hAnsi="Consolas"/>
                <w:color w:val="1E293B"/>
                <w:sz w:val="17"/>
              </w:rPr>
              <w:br/>
              <w:t xml:space="preserve">                               │ [Healthy, Stress, Failure, Fraud]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Expected Prior Loss ρ*(b_t)       │</w:t>
            </w:r>
            <w:r>
              <w:rPr>
                <w:rFonts w:ascii="Consolas" w:hAnsi="Consolas"/>
                <w:color w:val="1E293B"/>
                <w:sz w:val="17"/>
              </w:rPr>
              <w:br/>
              <w:t xml:space="preserve">                               │ min_a Σ b_j(t) · L(a_i, θ_j)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t xml:space="preserve">                               ┌───────────────────────────────────┐</w:t>
            </w:r>
            <w:r>
              <w:rPr>
                <w:rFonts w:ascii="Consolas" w:hAnsi="Consolas"/>
                <w:color w:val="1E293B"/>
                <w:sz w:val="17"/>
              </w:rPr>
              <w:br/>
              <w:t xml:space="preserve">                               │ Projected Post-UAV Loss           │</w:t>
            </w:r>
            <w:r>
              <w:rPr>
                <w:rFonts w:ascii="Consolas" w:hAnsi="Consolas"/>
                <w:color w:val="1E293B"/>
                <w:sz w:val="17"/>
              </w:rPr>
              <w:br/>
              <w:t xml:space="preserve">                               │ E_Z[ ρ*(b_{t|Z}) ] via Matrix Π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Gross Value of Information (GVoI) │</w:t>
            </w:r>
            <w:r>
              <w:rPr>
                <w:rFonts w:ascii="Consolas" w:hAnsi="Consolas"/>
                <w:color w:val="1E293B"/>
                <w:sz w:val="17"/>
              </w:rPr>
              <w:br/>
              <w:t xml:space="preserve">                               │ GVoI(t) = Prior Loss - Post Loss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Net VoI &amp; Operational Flight Cost │</w:t>
            </w:r>
            <w:r>
              <w:rPr>
                <w:rFonts w:ascii="Consolas" w:hAnsi="Consolas"/>
                <w:color w:val="1E293B"/>
                <w:sz w:val="17"/>
              </w:rPr>
              <w:br/>
              <w:t xml:space="preserve">                               │ NVoI(t) = GVoI(t) - C_flight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w:t>
            </w:r>
            <w:r>
              <w:rPr>
                <w:rFonts w:ascii="Consolas" w:hAnsi="Consolas"/>
                <w:color w:val="1E293B"/>
                <w:sz w:val="17"/>
              </w:rPr>
              <w:br/>
              <w:t xml:space="preserve">               [NVoI &gt; 0 &amp; V(t) &gt;= 0.2]                       [NVoI &lt;= 0 OR V(t) &lt; 0.2]</w:t>
            </w:r>
            <w:r>
              <w:rPr>
                <w:rFonts w:ascii="Consolas" w:hAnsi="Consolas"/>
                <w:color w:val="1E293B"/>
                <w:sz w:val="17"/>
              </w:rPr>
              <w:br/>
              <w:t xml:space="preserve">                         │                                               │</w:t>
            </w:r>
            <w:r>
              <w:rPr>
                <w:rFonts w:ascii="Consolas" w:hAnsi="Consolas"/>
                <w:color w:val="1E293B"/>
                <w:sz w:val="17"/>
              </w:rPr>
              <w:br/>
              <w:t xml:space="preserve">                         ▼                                               ▼</w:t>
            </w:r>
            <w:r>
              <w:rPr>
                <w:rFonts w:ascii="Consolas" w:hAnsi="Consolas"/>
                <w:color w:val="1E293B"/>
                <w:sz w:val="17"/>
              </w:rPr>
              <w:br/>
              <w:t xml:space="preserve">             AUTONOMOUS DISPATCH COMMAND                      SUPPRESS DRONE DISPATCH</w:t>
            </w:r>
            <w:r>
              <w:rPr>
                <w:rFonts w:ascii="Consolas" w:hAnsi="Consolas"/>
                <w:color w:val="1E293B"/>
                <w:sz w:val="17"/>
              </w:rPr>
              <w:br/>
              <w:t xml:space="preserve">             • Generate waypoint flight plan                  • Await next free satellite pass</w:t>
            </w:r>
            <w:r>
              <w:rPr>
                <w:rFonts w:ascii="Consolas" w:hAnsi="Consolas"/>
                <w:color w:val="1E293B"/>
                <w:sz w:val="17"/>
              </w:rPr>
              <w:br/>
              <w:t xml:space="preserve">             • Mobilize certified drone crew                  • Log auditable fiduciary saving</w:t>
            </w:r>
          </w:p>
        </w:tc>
      </w:tr>
    </w:tbl>
    <w:p w14:paraId="0E974C98" w14:textId="77777777" w:rsidR="006A60E4" w:rsidRDefault="006A60E4">
      <w:pPr>
        <w:spacing w:after="80"/>
      </w:pPr>
    </w:p>
    <w:p w14:paraId="5D6213EC" w14:textId="0986465A" w:rsidR="006A60E4" w:rsidRDefault="00000000">
      <w:pPr>
        <w:spacing w:before="160" w:after="40"/>
      </w:pPr>
      <w:r>
        <w:rPr>
          <w:rFonts w:ascii="Calibri" w:hAnsi="Calibri"/>
          <w:b/>
          <w:color w:val="1C6EA4"/>
        </w:rPr>
        <w:t>Decision Formulation</w:t>
      </w:r>
    </w:p>
    <w:p w14:paraId="16A32120" w14:textId="77777777" w:rsidR="006A60E4" w:rsidRDefault="00000000">
      <w:pPr>
        <w:spacing w:before="40" w:after="80"/>
      </w:pPr>
      <w:r>
        <w:rPr>
          <w:rFonts w:ascii="Calibri" w:hAnsi="Calibri"/>
          <w:color w:val="212529"/>
        </w:rPr>
        <w:t>Agrostech formulates dispatch as a closed-loop information-economic optimization:</w:t>
      </w:r>
    </w:p>
    <w:p w14:paraId="0B3A7AAE" w14:textId="77777777" w:rsidR="006A60E4" w:rsidRDefault="00000000">
      <w:pPr>
        <w:spacing w:before="40" w:after="80"/>
      </w:pPr>
      <w:r>
        <w:rPr>
          <w:rFonts w:ascii="Calibri" w:hAnsi="Calibri"/>
          <w:color w:val="212529"/>
        </w:rPr>
        <w:t>$$\text{NVoI}(t) = \text{GVoI}(t) - C_{\text{flight}} = \left( \rho^</w:t>
      </w:r>
      <w:r>
        <w:rPr>
          <w:rFonts w:ascii="Calibri" w:hAnsi="Calibri"/>
          <w:i/>
          <w:color w:val="212529"/>
        </w:rPr>
        <w:t>(\mathbf{b}_t) - \mathbb{E}_Z \left[ \rho^</w:t>
      </w:r>
      <w:r>
        <w:rPr>
          <w:rFonts w:ascii="Calibri" w:hAnsi="Calibri"/>
          <w:color w:val="212529"/>
        </w:rPr>
        <w:t>(\mathbf{b}_{t \mid Z}) \right] \right) - C_{\text{flight}}$$</w:t>
      </w:r>
    </w:p>
    <w:p w14:paraId="5D812593" w14:textId="77777777" w:rsidR="006A60E4" w:rsidRDefault="00000000">
      <w:pPr>
        <w:pStyle w:val="Numerada"/>
        <w:spacing w:before="20" w:after="40"/>
      </w:pPr>
      <w:r>
        <w:rPr>
          <w:rFonts w:ascii="Calibri" w:hAnsi="Calibri"/>
          <w:b/>
          <w:color w:val="212529"/>
        </w:rPr>
        <w:t>Prior Belief ($\mathbf{b}_t$)</w:t>
      </w:r>
      <w:r>
        <w:rPr>
          <w:rFonts w:ascii="Calibri" w:hAnsi="Calibri"/>
          <w:color w:val="212529"/>
        </w:rPr>
        <w:t>: Multi-state vector over latent crop states $\Theta = \{\text{Healthy}, \text{Early Stress}, \text{Severe Failure}, \text{Fraud/Diversion}\}$. In the absence of clear orbital observations, belief diffuses toward hazard states scaled by elapsed days $\Delta t_{\text{gap}}$ and cloud probability $P_{\text{cloud}}(t)$.</w:t>
      </w:r>
    </w:p>
    <w:p w14:paraId="3E8B535E" w14:textId="77777777" w:rsidR="006A60E4" w:rsidRDefault="00000000">
      <w:pPr>
        <w:pStyle w:val="Numerada"/>
        <w:spacing w:before="20" w:after="40"/>
      </w:pPr>
      <w:r>
        <w:rPr>
          <w:rFonts w:ascii="Calibri" w:hAnsi="Calibri"/>
          <w:b/>
          <w:color w:val="212529"/>
        </w:rPr>
        <w:t>Action-Loss Matrix ($L(a_i, \theta_j)$)</w:t>
      </w:r>
      <w:r>
        <w:rPr>
          <w:rFonts w:ascii="Calibri" w:hAnsi="Calibri"/>
          <w:color w:val="212529"/>
        </w:rPr>
        <w:t xml:space="preserve">: Actions include </w:t>
      </w:r>
      <w:r>
        <w:rPr>
          <w:rFonts w:ascii="Calibri" w:hAnsi="Calibri"/>
          <w:i/>
          <w:color w:val="212529"/>
        </w:rPr>
        <w:t>Maintain</w:t>
      </w:r>
      <w:r>
        <w:rPr>
          <w:rFonts w:ascii="Calibri" w:hAnsi="Calibri"/>
          <w:color w:val="212529"/>
        </w:rPr>
        <w:t xml:space="preserve">, </w:t>
      </w:r>
      <w:r>
        <w:rPr>
          <w:rFonts w:ascii="Calibri" w:hAnsi="Calibri"/>
          <w:i/>
          <w:color w:val="212529"/>
        </w:rPr>
        <w:t>Remediate</w:t>
      </w:r>
      <w:r>
        <w:rPr>
          <w:rFonts w:ascii="Calibri" w:hAnsi="Calibri"/>
          <w:color w:val="212529"/>
        </w:rPr>
        <w:t xml:space="preserve">, </w:t>
      </w:r>
      <w:r>
        <w:rPr>
          <w:rFonts w:ascii="Calibri" w:hAnsi="Calibri"/>
          <w:i/>
          <w:color w:val="212529"/>
        </w:rPr>
        <w:t>Freeze Credit</w:t>
      </w:r>
      <w:r>
        <w:rPr>
          <w:rFonts w:ascii="Calibri" w:hAnsi="Calibri"/>
          <w:color w:val="212529"/>
        </w:rPr>
        <w:t xml:space="preserve">, and </w:t>
      </w:r>
      <w:r>
        <w:rPr>
          <w:rFonts w:ascii="Calibri" w:hAnsi="Calibri"/>
          <w:i/>
          <w:color w:val="212529"/>
        </w:rPr>
        <w:t>Judicial Seizure</w:t>
      </w:r>
      <w:r>
        <w:rPr>
          <w:rFonts w:ascii="Calibri" w:hAnsi="Calibri"/>
          <w:color w:val="212529"/>
        </w:rPr>
        <w:t>. Financial losses are scaled by the effective credit exposure $L_{\text{credit}}(t) = E_{\text{credit}} \cdot V(t)$ in Brazilian Reais.</w:t>
      </w:r>
    </w:p>
    <w:p w14:paraId="020A0442" w14:textId="77777777" w:rsidR="006A60E4" w:rsidRDefault="00000000">
      <w:pPr>
        <w:pStyle w:val="Numerada"/>
        <w:spacing w:before="20" w:after="40"/>
      </w:pPr>
      <w:r>
        <w:rPr>
          <w:rFonts w:ascii="Calibri" w:hAnsi="Calibri"/>
          <w:b/>
          <w:color w:val="212529"/>
        </w:rPr>
        <w:t>Phenological Vulnerability Window ($V(t)$)</w:t>
      </w:r>
      <w:r>
        <w:rPr>
          <w:rFonts w:ascii="Calibri" w:hAnsi="Calibri"/>
          <w:color w:val="212529"/>
        </w:rPr>
        <w:t>: Logistic-Gaussian growth multiplier peaking during flowering and pod fill ($t_{\text{peak}} = 65\text{ DAP}, V=1.0$) and remaining elevated during the pre-harvest grain diversion window ($V=0.85$).</w:t>
      </w:r>
    </w:p>
    <w:p w14:paraId="555219EA" w14:textId="77777777" w:rsidR="006A60E4" w:rsidRDefault="00000000">
      <w:pPr>
        <w:pStyle w:val="Numerada"/>
        <w:spacing w:before="20" w:after="40"/>
      </w:pPr>
      <w:r>
        <w:rPr>
          <w:rFonts w:ascii="Calibri" w:hAnsi="Calibri"/>
          <w:b/>
          <w:color w:val="212529"/>
        </w:rPr>
        <w:t>Marginal Flight Cost ($C_{\text{flight}}$)</w:t>
      </w:r>
      <w:r>
        <w:rPr>
          <w:rFonts w:ascii="Calibri" w:hAnsi="Calibri"/>
          <w:color w:val="212529"/>
        </w:rPr>
        <w:t>: Explicit model of crew mobilization, transit distance from hub ($D_{\text{base}}$), airspace permit fees (SARPAS/DECEA), and variable per-hectare battery/processing wear.</w:t>
      </w:r>
    </w:p>
    <w:p w14:paraId="49B8F9DB" w14:textId="77777777" w:rsidR="006A60E4" w:rsidRDefault="00000000">
      <w:pPr>
        <w:pStyle w:val="Numerada"/>
        <w:spacing w:before="20" w:after="40"/>
      </w:pPr>
      <w:r>
        <w:rPr>
          <w:rFonts w:ascii="Calibri" w:hAnsi="Calibri"/>
          <w:b/>
          <w:color w:val="212529"/>
        </w:rPr>
        <w:t>Optimal Decision Trigger</w:t>
      </w:r>
      <w:r>
        <w:rPr>
          <w:rFonts w:ascii="Calibri" w:hAnsi="Calibri"/>
          <w:color w:val="212529"/>
        </w:rPr>
        <w:t>:</w:t>
      </w:r>
    </w:p>
    <w:p w14:paraId="58561ADA" w14:textId="77777777" w:rsidR="006A60E4" w:rsidRDefault="00000000">
      <w:pPr>
        <w:spacing w:before="40" w:after="80"/>
      </w:pPr>
      <w:r>
        <w:rPr>
          <w:rFonts w:ascii="Calibri" w:hAnsi="Calibri"/>
          <w:color w:val="212529"/>
        </w:rPr>
        <w:t>$$\text{Dispatch UAV } \iff \text{NVoI}(t) &gt; 0 \quad \text{AND} \quad V(t) \ge 0.20$$</w:t>
      </w:r>
    </w:p>
    <w:p w14:paraId="7A51044B" w14:textId="77777777" w:rsidR="006A60E4" w:rsidRDefault="00000000">
      <w:pPr>
        <w:spacing w:before="40" w:after="80"/>
      </w:pPr>
      <w:r>
        <w:rPr>
          <w:rFonts w:ascii="Calibri" w:hAnsi="Calibri"/>
          <w:color w:val="212529"/>
        </w:rPr>
        <w:t>This guarantees that every drone flight has positive expected financial return, creating a legally unassailable audit trail for credit risk committees.</w:t>
      </w:r>
    </w:p>
    <w:p w14:paraId="111EAF0E" w14:textId="77777777" w:rsidR="006A60E4" w:rsidRDefault="006A60E4">
      <w:pPr>
        <w:pBdr>
          <w:bottom w:val="single" w:sz="8" w:space="1" w:color="D0D5DD"/>
        </w:pBdr>
        <w:spacing w:before="120" w:after="120"/>
      </w:pPr>
    </w:p>
    <w:p w14:paraId="612E5EA9" w14:textId="77777777" w:rsidR="006A60E4" w:rsidRDefault="00000000">
      <w:pPr>
        <w:spacing w:before="200" w:after="40"/>
      </w:pPr>
      <w:r>
        <w:rPr>
          <w:rFonts w:ascii="Calibri" w:hAnsi="Calibri"/>
          <w:b/>
          <w:color w:val="102C57"/>
          <w:sz w:val="26"/>
        </w:rPr>
        <w:t>2.3 Pillar 3: Uncertainty-Aware Probabilistic Hydrology &amp; Soil Erosion Mechanics</w:t>
      </w:r>
    </w:p>
    <w:p w14:paraId="4AF26A89" w14:textId="77777777" w:rsidR="006A60E4" w:rsidRDefault="00000000">
      <w:pPr>
        <w:spacing w:before="160" w:after="40"/>
      </w:pPr>
      <w:r>
        <w:rPr>
          <w:rFonts w:ascii="Calibri" w:hAnsi="Calibri"/>
          <w:b/>
          <w:color w:val="1C6EA4"/>
        </w:rPr>
        <w:t>The Physics of Flow-Flipping on Gentle Slopes</w:t>
      </w:r>
    </w:p>
    <w:p w14:paraId="50EDEE3F" w14:textId="77777777" w:rsidR="006A60E4" w:rsidRDefault="00000000">
      <w:pPr>
        <w:spacing w:before="40" w:after="80"/>
      </w:pPr>
      <w:r>
        <w:rPr>
          <w:rFonts w:ascii="Calibri" w:hAnsi="Calibri"/>
          <w:color w:val="212529"/>
        </w:rPr>
        <w:t>Under Brazilian Forest Code (Lei 12.651/2012) and MAPA ZarcNM, farms with slope $&gt;3\%$ must maintain contour terracing (</w:t>
      </w:r>
      <w:r>
        <w:rPr>
          <w:rFonts w:ascii="Calibri" w:hAnsi="Calibri"/>
          <w:i/>
          <w:color w:val="212529"/>
        </w:rPr>
        <w:t>curvas de nível</w:t>
      </w:r>
      <w:r>
        <w:rPr>
          <w:rFonts w:ascii="Calibri" w:hAnsi="Calibri"/>
          <w:color w:val="212529"/>
        </w:rPr>
        <w:t>). However, drone photogrammetry yields noisy digital terrain models ($\sigma_z \approx 0.15\text{--}0.45\text{ m}$) because structure-from-motion algorithms reconstruct dense crop canopy tops rather than bare soil.</w:t>
      </w:r>
    </w:p>
    <w:p w14:paraId="52D9D6FB" w14:textId="77777777" w:rsidR="006A60E4" w:rsidRDefault="00000000">
      <w:pPr>
        <w:spacing w:before="40" w:after="80"/>
      </w:pPr>
      <w:r>
        <w:rPr>
          <w:rFonts w:ascii="Calibri" w:hAnsi="Calibri"/>
          <w:color w:val="212529"/>
        </w:rPr>
        <w:t>In gentle Cerrado terrain ($1.5\%\text{--}3.5\%$ slope), an elevation error of $0.25\text{ m}$ across $10\text{ m}$ introduces an artificial $2.5\%$ slope error, flipping computed hydrological flow directions by up to $180^\circ$. Deterministic models (Rational Method $Q=CIA$, single-run SCS-CN) miscalculate flow accumulation, erroneously certifying undersized terraces that overtop and breach during intense convective tropical storms.</w:t>
      </w:r>
    </w:p>
    <w:tbl>
      <w:tblPr>
        <w:tblW w:w="0" w:type="auto"/>
        <w:jc w:val="center"/>
        <w:tblLook w:val="04A0" w:firstRow="1" w:lastRow="0" w:firstColumn="1" w:lastColumn="0" w:noHBand="0" w:noVBand="1"/>
      </w:tblPr>
      <w:tblGrid>
        <w:gridCol w:w="9936"/>
      </w:tblGrid>
      <w:tr w:rsidR="006A60E4" w14:paraId="028D0A72" w14:textId="77777777">
        <w:trPr>
          <w:jc w:val="center"/>
        </w:trPr>
        <w:tc>
          <w:tcPr>
            <w:tcW w:w="9936" w:type="dxa"/>
            <w:shd w:val="clear" w:color="auto" w:fill="F8F9FA"/>
            <w:tcMar>
              <w:top w:w="140" w:type="dxa"/>
              <w:left w:w="200" w:type="dxa"/>
              <w:bottom w:w="140" w:type="dxa"/>
              <w:right w:w="200" w:type="dxa"/>
            </w:tcMar>
          </w:tcPr>
          <w:p w14:paraId="0A192AD6" w14:textId="4883CC4D" w:rsidR="006A60E4" w:rsidRDefault="00000000">
            <w:pPr>
              <w:spacing w:before="40" w:after="40"/>
            </w:pPr>
            <w:r>
              <w:rPr>
                <w:rFonts w:ascii="Consolas" w:hAnsi="Consolas"/>
                <w:color w:val="1E293B"/>
                <w:sz w:val="17"/>
              </w:rPr>
              <w:t xml:space="preserve">                                  ┌─────────────────────────────┐</w:t>
            </w:r>
            <w:r>
              <w:rPr>
                <w:rFonts w:ascii="Consolas" w:hAnsi="Consolas"/>
                <w:color w:val="1E293B"/>
                <w:sz w:val="17"/>
              </w:rPr>
              <w:br/>
              <w:t xml:space="preserve">                                  │   NOMINAL PHOTOGRAMMETRIC   │</w:t>
            </w:r>
            <w:r>
              <w:rPr>
                <w:rFonts w:ascii="Consolas" w:hAnsi="Consolas"/>
                <w:color w:val="1E293B"/>
                <w:sz w:val="17"/>
              </w:rPr>
              <w:br/>
              <w:t xml:space="preserve">                                  │       DTM z_0(x, y)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Canopy- &amp; Slope-Conditioned Error │</w:t>
            </w:r>
            <w:r>
              <w:rPr>
                <w:rFonts w:ascii="Consolas" w:hAnsi="Consolas"/>
                <w:color w:val="1E293B"/>
                <w:sz w:val="17"/>
              </w:rPr>
              <w:br/>
              <w:t xml:space="preserve">                               │ </w:t>
            </w:r>
            <w:proofErr w:type="spellStart"/>
            <w:r>
              <w:rPr>
                <w:rFonts w:ascii="Consolas" w:hAnsi="Consolas"/>
                <w:color w:val="1E293B"/>
                <w:sz w:val="17"/>
              </w:rPr>
              <w:t>σ_z</w:t>
            </w:r>
            <w:proofErr w:type="spellEnd"/>
            <w:r>
              <w:rPr>
                <w:rFonts w:ascii="Consolas" w:hAnsi="Consolas"/>
                <w:color w:val="1E293B"/>
                <w:sz w:val="17"/>
              </w:rPr>
              <w:t xml:space="preserve">(x, y) = </w:t>
            </w:r>
            <w:proofErr w:type="spellStart"/>
            <w:r>
              <w:rPr>
                <w:rFonts w:ascii="Consolas" w:hAnsi="Consolas"/>
                <w:color w:val="1E293B"/>
                <w:sz w:val="17"/>
              </w:rPr>
              <w:t>σ_base</w:t>
            </w:r>
            <w:proofErr w:type="spellEnd"/>
            <w:r>
              <w:rPr>
                <w:rFonts w:ascii="Consolas" w:hAnsi="Consolas"/>
                <w:color w:val="1E293B"/>
                <w:sz w:val="17"/>
              </w:rPr>
              <w:t xml:space="preserve"> · [1 + α·NDVI²]│</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2D Spectral FFT Filter Generator  │</w:t>
            </w:r>
            <w:r>
              <w:rPr>
                <w:rFonts w:ascii="Consolas" w:hAnsi="Consolas"/>
                <w:color w:val="1E293B"/>
                <w:sz w:val="17"/>
              </w:rPr>
              <w:br/>
              <w:t xml:space="preserve">                               │ Spatial Autocorrelation </w:t>
            </w:r>
            <w:proofErr w:type="spellStart"/>
            <w:r>
              <w:rPr>
                <w:rFonts w:ascii="Consolas" w:hAnsi="Consolas"/>
                <w:color w:val="1E293B"/>
                <w:sz w:val="17"/>
              </w:rPr>
              <w:t>L_corr</w:t>
            </w:r>
            <w:proofErr w:type="spellEnd"/>
            <w:r>
              <w:rPr>
                <w:rFonts w:ascii="Consolas" w:hAnsi="Consolas"/>
                <w:color w:val="1E293B"/>
                <w:sz w:val="17"/>
              </w:rP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Monte Carlo Ensemble Realizations │</w:t>
            </w:r>
            <w:r>
              <w:rPr>
                <w:rFonts w:ascii="Consolas" w:hAnsi="Consolas"/>
                <w:color w:val="1E293B"/>
                <w:sz w:val="17"/>
              </w:rPr>
              <w:br/>
              <w:t xml:space="preserve">                               │ z(x, y, ω) = z_0 + σ_z · η(ω)     │</w:t>
            </w:r>
            <w:r>
              <w:rPr>
                <w:rFonts w:ascii="Consolas" w:hAnsi="Consolas"/>
                <w:color w:val="1E293B"/>
                <w:sz w:val="17"/>
              </w:rPr>
              <w:br/>
              <w:t xml:space="preserve">                               │ (ω = 1 ... M, M = 200 iterations)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Distributed Tropical SCS-CN Model │</w:t>
            </w:r>
            <w:r>
              <w:rPr>
                <w:rFonts w:ascii="Consolas" w:hAnsi="Consolas"/>
                <w:color w:val="1E293B"/>
                <w:sz w:val="17"/>
              </w:rPr>
              <w:br/>
              <w:t xml:space="preserve">                               │ 24h Storm </w:t>
            </w:r>
            <w:proofErr w:type="spellStart"/>
            <w:r>
              <w:rPr>
                <w:rFonts w:ascii="Consolas" w:hAnsi="Consolas"/>
                <w:color w:val="1E293B"/>
                <w:sz w:val="17"/>
              </w:rPr>
              <w:t>P_design</w:t>
            </w:r>
            <w:proofErr w:type="spellEnd"/>
            <w:r>
              <w:rPr>
                <w:rFonts w:ascii="Consolas" w:hAnsi="Consolas"/>
                <w:color w:val="1E293B"/>
                <w:sz w:val="17"/>
              </w:rPr>
              <w:t>, λ = 0.05      │</w:t>
            </w:r>
            <w:r>
              <w:rPr>
                <w:rFonts w:ascii="Consolas" w:hAnsi="Consolas"/>
                <w:color w:val="1E293B"/>
                <w:sz w:val="17"/>
              </w:rPr>
              <w:br/>
              <w:t xml:space="preserve">                               │ Cell Runoff Volume </w:t>
            </w:r>
            <w:proofErr w:type="spellStart"/>
            <w:r>
              <w:rPr>
                <w:rFonts w:ascii="Consolas" w:hAnsi="Consolas"/>
                <w:color w:val="1E293B"/>
                <w:sz w:val="17"/>
              </w:rPr>
              <w:t>v_cell</w:t>
            </w:r>
            <w:proofErr w:type="spellEnd"/>
            <w:r>
              <w:rPr>
                <w:rFonts w:ascii="Consolas" w:hAnsi="Consolas"/>
                <w:color w:val="1E293B"/>
                <w:sz w:val="17"/>
              </w:rPr>
              <w:t>(x, y)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D-Infinity Continuous Routing     │</w:t>
            </w:r>
            <w:r>
              <w:rPr>
                <w:rFonts w:ascii="Consolas" w:hAnsi="Consolas"/>
                <w:color w:val="1E293B"/>
                <w:sz w:val="17"/>
              </w:rPr>
              <w:br/>
              <w:t xml:space="preserve">                               │ Cumulative Inflow </w:t>
            </w:r>
            <w:proofErr w:type="spellStart"/>
            <w:r>
              <w:rPr>
                <w:rFonts w:ascii="Consolas" w:hAnsi="Consolas"/>
                <w:color w:val="1E293B"/>
                <w:sz w:val="17"/>
              </w:rPr>
              <w:t>V_inflow</w:t>
            </w:r>
            <w:proofErr w:type="spellEnd"/>
            <w:r>
              <w:rPr>
                <w:rFonts w:ascii="Consolas" w:hAnsi="Consolas"/>
                <w:color w:val="1E293B"/>
                <w:sz w:val="17"/>
              </w:rPr>
              <w:t>(</w:t>
            </w:r>
            <w:proofErr w:type="spellStart"/>
            <w:r>
              <w:rPr>
                <w:rFonts w:ascii="Consolas" w:hAnsi="Consolas"/>
                <w:color w:val="1E293B"/>
                <w:sz w:val="17"/>
              </w:rPr>
              <w:t>T_k</w:t>
            </w:r>
            <w:proofErr w:type="spellEnd"/>
            <w:r>
              <w:rPr>
                <w:rFonts w:ascii="Consolas" w:hAnsi="Consolas"/>
                <w:color w:val="1E293B"/>
                <w:sz w:val="17"/>
              </w:rPr>
              <w:t>, ω)│</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 Structural Risk &amp; Compliance Map  │</w:t>
            </w:r>
            <w:r>
              <w:rPr>
                <w:rFonts w:ascii="Consolas" w:hAnsi="Consolas"/>
                <w:color w:val="1E293B"/>
                <w:sz w:val="17"/>
              </w:rPr>
              <w:br/>
              <w:t xml:space="preserve">                               │ • P_overtop(T_k) = Σ I(Vin &gt; Vcap)│</w:t>
            </w:r>
            <w:r>
              <w:rPr>
                <w:rFonts w:ascii="Consolas" w:hAnsi="Consolas"/>
                <w:color w:val="1E293B"/>
                <w:sz w:val="17"/>
              </w:rPr>
              <w:br/>
              <w:t xml:space="preserve">                               │ • Per-pixel P(Q &gt; Q_crit)         │</w:t>
            </w:r>
            <w:r>
              <w:rPr>
                <w:rFonts w:ascii="Consolas" w:hAnsi="Consolas"/>
                <w:color w:val="1E293B"/>
                <w:sz w:val="17"/>
              </w:rPr>
              <w:br/>
              <w:t xml:space="preserve">                               │ • Forest Code 45° APP Extraction  │</w:t>
            </w:r>
            <w:r>
              <w:rPr>
                <w:rFonts w:ascii="Consolas" w:hAnsi="Consolas"/>
                <w:color w:val="1E293B"/>
                <w:sz w:val="17"/>
              </w:rPr>
              <w:br/>
              <w:t xml:space="preserve">                               └───────────────────────────────────┘</w:t>
            </w:r>
          </w:p>
        </w:tc>
      </w:tr>
    </w:tbl>
    <w:p w14:paraId="77D65B74" w14:textId="77777777" w:rsidR="006A60E4" w:rsidRDefault="006A60E4">
      <w:pPr>
        <w:spacing w:after="80"/>
      </w:pPr>
    </w:p>
    <w:p w14:paraId="757F5924" w14:textId="0874834E" w:rsidR="006A60E4" w:rsidRDefault="00000000">
      <w:pPr>
        <w:spacing w:before="160" w:after="40"/>
      </w:pPr>
      <w:proofErr w:type="spellStart"/>
      <w:r>
        <w:rPr>
          <w:rFonts w:ascii="Calibri" w:hAnsi="Calibri"/>
          <w:b/>
          <w:color w:val="1C6EA4"/>
        </w:rPr>
        <w:t>Agrostech</w:t>
      </w:r>
      <w:proofErr w:type="spellEnd"/>
      <w:r>
        <w:rPr>
          <w:rFonts w:ascii="Calibri" w:hAnsi="Calibri"/>
          <w:b/>
          <w:color w:val="1C6EA4"/>
        </w:rPr>
        <w:t xml:space="preserve"> Probabilistic Architecture</w:t>
      </w:r>
    </w:p>
    <w:p w14:paraId="318BAF7E" w14:textId="77777777" w:rsidR="006A60E4" w:rsidRDefault="00000000">
      <w:pPr>
        <w:pStyle w:val="Numerada"/>
        <w:spacing w:before="20" w:after="40"/>
      </w:pPr>
      <w:r>
        <w:rPr>
          <w:rFonts w:ascii="Calibri" w:hAnsi="Calibri"/>
          <w:b/>
          <w:color w:val="212529"/>
        </w:rPr>
        <w:t>Canopy- and Slope-Conditioned Noise ($\sigma_z(x, y)$)</w:t>
      </w:r>
      <w:r>
        <w:rPr>
          <w:rFonts w:ascii="Calibri" w:hAnsi="Calibri"/>
          <w:color w:val="212529"/>
        </w:rPr>
        <w:t>:</w:t>
      </w:r>
    </w:p>
    <w:p w14:paraId="56D84086" w14:textId="797A4EAA" w:rsidR="006A60E4" w:rsidRDefault="00000000">
      <w:pPr>
        <w:spacing w:before="40" w:after="80"/>
      </w:pPr>
      <w:r>
        <w:rPr>
          <w:rFonts w:ascii="Calibri" w:hAnsi="Calibri"/>
          <w:color w:val="212529"/>
        </w:rPr>
        <w:t>$$\sigma_z(x, y) = \sigma_{\text{base}} \cdot \left[1 + \alpha_{\text{canopy}} \cdot \left(\frac{\text{NDVI}(x, y) - \text{NDVI}_{\text{bare}}}{\text{NDVI}_{\text{max}} - \text{NDVI}_{\text{bare}}}\right)^2\right] \cdot \left[1 + \beta_{\text{slope}} \</w:t>
      </w:r>
      <w:proofErr w:type="spellStart"/>
      <w:r>
        <w:rPr>
          <w:rFonts w:ascii="Calibri" w:hAnsi="Calibri"/>
          <w:color w:val="212529"/>
        </w:rPr>
        <w:t>cdot</w:t>
      </w:r>
      <w:proofErr w:type="spellEnd"/>
      <w:r>
        <w:rPr>
          <w:rFonts w:ascii="Calibri" w:hAnsi="Calibri"/>
          <w:color w:val="212529"/>
        </w:rPr>
        <w:t xml:space="preserve"> \tan(\theta_{\text{slope}})\right]$$</w:t>
      </w:r>
      <w:r w:rsidR="00DB41A8">
        <w:rPr>
          <w:rFonts w:ascii="Calibri" w:hAnsi="Calibri"/>
          <w:color w:val="212529"/>
        </w:rPr>
        <w:br/>
      </w:r>
    </w:p>
    <w:p w14:paraId="41304705" w14:textId="6428BC8D" w:rsidR="006A60E4" w:rsidRDefault="00000000">
      <w:pPr>
        <w:pStyle w:val="Numerada"/>
        <w:spacing w:before="20" w:after="40"/>
      </w:pPr>
      <w:r>
        <w:rPr>
          <w:rFonts w:ascii="Calibri" w:hAnsi="Calibri"/>
          <w:b/>
          <w:color w:val="212529"/>
        </w:rPr>
        <w:t>2D Fast Fourier Transform Spectral Synthesis</w:t>
      </w:r>
      <w:r>
        <w:rPr>
          <w:rFonts w:ascii="Calibri" w:hAnsi="Calibri"/>
          <w:color w:val="212529"/>
        </w:rPr>
        <w:t>: Generates spatially correlated Gaussian Random Field perturbations using isotropic power spectral density filter $\hat{H}(k_x, k_y)$ with empirical correlation length $L_{\text{</w:t>
      </w:r>
      <w:proofErr w:type="spellStart"/>
      <w:r>
        <w:rPr>
          <w:rFonts w:ascii="Calibri" w:hAnsi="Calibri"/>
          <w:color w:val="212529"/>
        </w:rPr>
        <w:t>corr</w:t>
      </w:r>
      <w:proofErr w:type="spellEnd"/>
      <w:r>
        <w:rPr>
          <w:rFonts w:ascii="Calibri" w:hAnsi="Calibri"/>
          <w:color w:val="212529"/>
        </w:rPr>
        <w:t>}} = 25\text{ m}$.</w:t>
      </w:r>
      <w:r w:rsidR="00DB41A8">
        <w:rPr>
          <w:rFonts w:ascii="Calibri" w:hAnsi="Calibri"/>
          <w:color w:val="212529"/>
        </w:rPr>
        <w:br/>
      </w:r>
    </w:p>
    <w:p w14:paraId="74216BB2" w14:textId="09D6638A" w:rsidR="006A60E4" w:rsidRDefault="00000000">
      <w:pPr>
        <w:pStyle w:val="Numerada"/>
        <w:spacing w:before="20" w:after="40"/>
      </w:pPr>
      <w:r>
        <w:rPr>
          <w:rFonts w:ascii="Calibri" w:hAnsi="Calibri"/>
          <w:b/>
          <w:color w:val="212529"/>
        </w:rPr>
        <w:t>Calibrated Tropical Soil Hydrology</w:t>
      </w:r>
      <w:r>
        <w:rPr>
          <w:rFonts w:ascii="Calibri" w:hAnsi="Calibri"/>
          <w:color w:val="212529"/>
        </w:rPr>
        <w:t>: SCS-CN equations adapted to Brazilian Oxisols (</w:t>
      </w:r>
      <w:r>
        <w:rPr>
          <w:rFonts w:ascii="Calibri" w:hAnsi="Calibri"/>
          <w:i/>
          <w:color w:val="212529"/>
        </w:rPr>
        <w:t>Latossolos</w:t>
      </w:r>
      <w:r>
        <w:rPr>
          <w:rFonts w:ascii="Calibri" w:hAnsi="Calibri"/>
          <w:color w:val="212529"/>
        </w:rPr>
        <w:t>) using initial abstraction $\lambda = 0.05$ (replacing outdated USDA $\lambda = 0.20$) for a 10-year design storm $P_{\text{design}} = 120\text{ mm}$.</w:t>
      </w:r>
      <w:r w:rsidR="00DB41A8">
        <w:rPr>
          <w:rFonts w:ascii="Calibri" w:hAnsi="Calibri"/>
          <w:color w:val="212529"/>
        </w:rPr>
        <w:br/>
      </w:r>
    </w:p>
    <w:p w14:paraId="412D868C" w14:textId="00B55158" w:rsidR="006A60E4" w:rsidRDefault="00000000">
      <w:pPr>
        <w:pStyle w:val="Numerada"/>
        <w:spacing w:before="20" w:after="40"/>
      </w:pPr>
      <w:r>
        <w:rPr>
          <w:rFonts w:ascii="Calibri" w:hAnsi="Calibri"/>
          <w:b/>
          <w:color w:val="212529"/>
        </w:rPr>
        <w:t>D-Infinity Continuous Flow Routing</w:t>
      </w:r>
      <w:r>
        <w:rPr>
          <w:rFonts w:ascii="Calibri" w:hAnsi="Calibri"/>
          <w:color w:val="212529"/>
        </w:rPr>
        <w:t>: Evaluates continuous angular flow splitting across $M = 200$ stochastic elevation realizations, accumulating runoff volume $V_{\text{inflow}}(T_k, \omega)$ into each engineered contour terrace channel.</w:t>
      </w:r>
      <w:r w:rsidR="00DB41A8">
        <w:rPr>
          <w:rFonts w:ascii="Calibri" w:hAnsi="Calibri"/>
          <w:color w:val="212529"/>
        </w:rPr>
        <w:br/>
      </w:r>
    </w:p>
    <w:p w14:paraId="0A8F7E82" w14:textId="77777777" w:rsidR="006A60E4" w:rsidRDefault="00000000">
      <w:pPr>
        <w:pStyle w:val="Numerada"/>
        <w:spacing w:before="20" w:after="40"/>
      </w:pPr>
      <w:r>
        <w:rPr>
          <w:rFonts w:ascii="Calibri" w:hAnsi="Calibri"/>
          <w:b/>
          <w:color w:val="212529"/>
        </w:rPr>
        <w:t>Structural Overtopping Probability ($P_{\text{overtop}}$)</w:t>
      </w:r>
      <w:r>
        <w:rPr>
          <w:rFonts w:ascii="Calibri" w:hAnsi="Calibri"/>
          <w:color w:val="212529"/>
        </w:rPr>
        <w:t>:</w:t>
      </w:r>
    </w:p>
    <w:p w14:paraId="3DF4E5F1" w14:textId="77777777" w:rsidR="006A60E4" w:rsidRDefault="00000000">
      <w:pPr>
        <w:spacing w:before="40" w:after="80"/>
      </w:pPr>
      <w:r>
        <w:rPr>
          <w:rFonts w:ascii="Calibri" w:hAnsi="Calibri"/>
          <w:color w:val="212529"/>
        </w:rPr>
        <w:t>$$P_{\text{overtop}}(T_k) = \frac{1}{M}\sum_{\omega=1}^M \mathbb{I}\left( V_{\text{inflow}}(T_k, \omega) &gt; V_{\text{storage}}(T_k) \right) \in [0, 1]$$</w:t>
      </w:r>
    </w:p>
    <w:p w14:paraId="77262889" w14:textId="46FE56E3" w:rsidR="006A60E4" w:rsidRDefault="00000000">
      <w:pPr>
        <w:spacing w:before="40" w:after="80"/>
      </w:pPr>
      <w:r>
        <w:rPr>
          <w:rFonts w:ascii="Calibri" w:hAnsi="Calibri"/>
          <w:color w:val="212529"/>
        </w:rPr>
        <w:t>Terraces exhibiting $P_{\text{overtop}} \ge 0.30$ are automatically flagged for physical reinforcement before credit disbursement.</w:t>
      </w:r>
      <w:r w:rsidR="00DB41A8">
        <w:rPr>
          <w:rFonts w:ascii="Calibri" w:hAnsi="Calibri"/>
          <w:color w:val="212529"/>
        </w:rPr>
        <w:br/>
      </w:r>
    </w:p>
    <w:p w14:paraId="0DEE15BF" w14:textId="77777777" w:rsidR="006A60E4" w:rsidRDefault="00000000">
      <w:pPr>
        <w:pStyle w:val="Numerada"/>
        <w:spacing w:before="20" w:after="40"/>
      </w:pPr>
      <w:r>
        <w:rPr>
          <w:rFonts w:ascii="Calibri" w:hAnsi="Calibri"/>
          <w:b/>
          <w:color w:val="212529"/>
        </w:rPr>
        <w:t>3D True-Surface Forest Code APP Extraction</w:t>
      </w:r>
      <w:r>
        <w:rPr>
          <w:rFonts w:ascii="Calibri" w:hAnsi="Calibri"/>
          <w:color w:val="212529"/>
        </w:rPr>
        <w:t>: Programmatically identifies terrain with slope $&gt; 45^\circ$ (100%), which is strictly non-arable APP under Forest Code Art. 4º, V, preventing illegal cultivation and collateral overvaluation.</w:t>
      </w:r>
    </w:p>
    <w:p w14:paraId="01C4EB2D" w14:textId="77777777" w:rsidR="006A60E4" w:rsidRDefault="006A60E4">
      <w:pPr>
        <w:pBdr>
          <w:bottom w:val="single" w:sz="8" w:space="1" w:color="D0D5DD"/>
        </w:pBdr>
        <w:spacing w:before="120" w:after="120"/>
      </w:pPr>
    </w:p>
    <w:p w14:paraId="7A7EC5F5" w14:textId="77777777" w:rsidR="006A60E4" w:rsidRDefault="00000000">
      <w:pPr>
        <w:spacing w:before="240" w:after="60"/>
      </w:pPr>
      <w:r>
        <w:rPr>
          <w:rFonts w:ascii="Calibri" w:hAnsi="Calibri"/>
          <w:b/>
          <w:color w:val="1C6EA4"/>
          <w:sz w:val="32"/>
        </w:rPr>
        <w:t>3. Regulatory Alignment Mapping</w:t>
      </w:r>
    </w:p>
    <w:p w14:paraId="7CD6074C" w14:textId="03419372" w:rsidR="00DB41A8" w:rsidRDefault="00000000" w:rsidP="00DB41A8">
      <w:pPr>
        <w:spacing w:before="40" w:after="80"/>
        <w:rPr>
          <w:rFonts w:ascii="Calibri" w:hAnsi="Calibri"/>
          <w:color w:val="212529"/>
        </w:rPr>
      </w:pPr>
      <w:r>
        <w:rPr>
          <w:rFonts w:ascii="Calibri" w:hAnsi="Calibri"/>
          <w:color w:val="212529"/>
        </w:rPr>
        <w:t>The following matrix documents Agrostech’s exact alignment with federal statutes, Central Bank circulars, and environmental decrees:</w:t>
      </w:r>
    </w:p>
    <w:p w14:paraId="07DED68C" w14:textId="77777777" w:rsidR="00DB41A8" w:rsidRDefault="00DB41A8" w:rsidP="00DB41A8">
      <w:pPr>
        <w:spacing w:before="40" w:after="80"/>
        <w:rPr>
          <w:rFonts w:ascii="Calibri" w:hAnsi="Calibri"/>
          <w:color w:val="212529"/>
        </w:rPr>
      </w:pPr>
    </w:p>
    <w:p w14:paraId="5148DE80" w14:textId="77777777" w:rsidR="00DB41A8" w:rsidRDefault="00DB41A8" w:rsidP="00DB41A8">
      <w:pPr>
        <w:spacing w:before="40" w:after="80"/>
        <w:rPr>
          <w:rFonts w:ascii="Calibri" w:hAnsi="Calibri"/>
          <w:color w:val="212529"/>
        </w:rPr>
      </w:pPr>
    </w:p>
    <w:p w14:paraId="7778D038" w14:textId="77777777" w:rsidR="00DB41A8" w:rsidRDefault="00DB41A8" w:rsidP="00DB41A8">
      <w:pPr>
        <w:spacing w:before="40" w:after="80"/>
        <w:rPr>
          <w:rFonts w:ascii="Calibri" w:hAnsi="Calibri"/>
          <w:color w:val="212529"/>
        </w:rPr>
      </w:pPr>
    </w:p>
    <w:p w14:paraId="4CB4C16B" w14:textId="77777777" w:rsidR="00DB41A8" w:rsidRDefault="00DB41A8" w:rsidP="00DB41A8">
      <w:pPr>
        <w:spacing w:before="40" w:after="80"/>
        <w:rPr>
          <w:rFonts w:ascii="Calibri" w:hAnsi="Calibri"/>
          <w:color w:val="212529"/>
        </w:rPr>
      </w:pPr>
    </w:p>
    <w:p w14:paraId="6A63F1BC" w14:textId="77777777" w:rsidR="00DB41A8" w:rsidRDefault="00DB41A8" w:rsidP="00DB41A8">
      <w:pPr>
        <w:spacing w:before="40" w:after="80"/>
        <w:rPr>
          <w:rFonts w:ascii="Calibri" w:hAnsi="Calibri"/>
          <w:color w:val="212529"/>
        </w:rPr>
      </w:pPr>
    </w:p>
    <w:p w14:paraId="2C5CA6DE" w14:textId="1F9B7E72" w:rsidR="00DB41A8" w:rsidRPr="00DB41A8" w:rsidRDefault="00DB41A8" w:rsidP="00DB41A8">
      <w:pPr>
        <w:spacing w:before="40" w:after="80"/>
        <w:rPr>
          <w:rFonts w:ascii="Calibri" w:hAnsi="Calibri"/>
          <w:color w:val="212529"/>
        </w:rPr>
      </w:pPr>
    </w:p>
    <w:tbl>
      <w:tblPr>
        <w:tblW w:w="0" w:type="auto"/>
        <w:jc w:val="center"/>
        <w:tblLook w:val="04A0" w:firstRow="1" w:lastRow="0" w:firstColumn="1" w:lastColumn="0" w:noHBand="0" w:noVBand="1"/>
      </w:tblPr>
      <w:tblGrid>
        <w:gridCol w:w="10308"/>
      </w:tblGrid>
      <w:tr w:rsidR="006A60E4" w14:paraId="74EE32B0" w14:textId="77777777">
        <w:trPr>
          <w:jc w:val="center"/>
        </w:trPr>
        <w:tc>
          <w:tcPr>
            <w:tcW w:w="9936" w:type="dxa"/>
            <w:shd w:val="clear" w:color="auto" w:fill="F8F9FA"/>
            <w:tcMar>
              <w:top w:w="140" w:type="dxa"/>
              <w:left w:w="200" w:type="dxa"/>
              <w:bottom w:w="140" w:type="dxa"/>
              <w:right w:w="200" w:type="dxa"/>
            </w:tcMar>
          </w:tcPr>
          <w:p w14:paraId="1A1D6667" w14:textId="77777777" w:rsidR="006A60E4" w:rsidRDefault="00000000">
            <w:pPr>
              <w:spacing w:before="40" w:after="40"/>
            </w:pPr>
            <w:r>
              <w:rPr>
                <w:rFonts w:ascii="Consolas" w:hAnsi="Consolas"/>
                <w:color w:val="1E293B"/>
                <w:sz w:val="17"/>
              </w:rPr>
              <w:lastRenderedPageBreak/>
              <w:t>┌────────────────────────────────────────────────────────────────────────────────────────────────────────┐</w:t>
            </w:r>
            <w:r>
              <w:rPr>
                <w:rFonts w:ascii="Consolas" w:hAnsi="Consolas"/>
                <w:color w:val="1E293B"/>
                <w:sz w:val="17"/>
              </w:rPr>
              <w:br/>
              <w:t>│                               REGULATORY COMPLIANCE ALIGNMENT MATRIX                                   │</w:t>
            </w:r>
            <w:r>
              <w:rPr>
                <w:rFonts w:ascii="Consolas" w:hAnsi="Consolas"/>
                <w:color w:val="1E293B"/>
                <w:sz w:val="17"/>
              </w:rPr>
              <w:br/>
              <w:t>├────────────────────┬────────────────────┬──────────────────────────────────────┬───────────────────────┤</w:t>
            </w:r>
            <w:r>
              <w:rPr>
                <w:rFonts w:ascii="Consolas" w:hAnsi="Consolas"/>
                <w:color w:val="1E293B"/>
                <w:sz w:val="17"/>
              </w:rPr>
              <w:br/>
              <w:t>│ STATUTE / DECREE   │ LEGAL ARTICLE      │ REGULATORY MANDATE                   │ AGROSTECH SOLUTION    │</w:t>
            </w:r>
            <w:r>
              <w:rPr>
                <w:rFonts w:ascii="Consolas" w:hAnsi="Consolas"/>
                <w:color w:val="1E293B"/>
                <w:sz w:val="17"/>
              </w:rPr>
              <w:br/>
              <w:t>├────────────────────┼────────────────────┼──────────────────────────────────────┼───────────────────────┤</w:t>
            </w:r>
            <w:r>
              <w:rPr>
                <w:rFonts w:ascii="Consolas" w:hAnsi="Consolas"/>
                <w:color w:val="1E293B"/>
                <w:sz w:val="17"/>
              </w:rPr>
              <w:br/>
              <w:t>│ BCB Resolução      │ MCR 2-7 &amp; MCR 2-9  │ Mandatory continuous remote sensing  │ Automated multi-modal │</w:t>
            </w:r>
            <w:r>
              <w:rPr>
                <w:rFonts w:ascii="Consolas" w:hAnsi="Consolas"/>
                <w:color w:val="1E293B"/>
                <w:sz w:val="17"/>
              </w:rPr>
              <w:br/>
              <w:t>│ CMN nº 5.267/2025  │                    │ monitoring for credit operations     │ satellite &amp; dual-track│</w:t>
            </w:r>
            <w:r>
              <w:rPr>
                <w:rFonts w:ascii="Consolas" w:hAnsi="Consolas"/>
                <w:color w:val="1E293B"/>
                <w:sz w:val="17"/>
              </w:rPr>
              <w:br/>
              <w:t>│ (In effect Mar 1,  │                    │ exceeding 300 hectares.              │ SAR ingestion pipeline│</w:t>
            </w:r>
            <w:r>
              <w:rPr>
                <w:rFonts w:ascii="Consolas" w:hAnsi="Consolas"/>
                <w:color w:val="1E293B"/>
                <w:sz w:val="17"/>
              </w:rPr>
              <w:br/>
              <w:t>│ 2026)              ├────────────────────┼──────────────────────────────────────┼───────────────────────┤</w:t>
            </w:r>
            <w:r>
              <w:rPr>
                <w:rFonts w:ascii="Consolas" w:hAnsi="Consolas"/>
                <w:color w:val="1E293B"/>
                <w:sz w:val="17"/>
              </w:rPr>
              <w:br/>
              <w:t>│                    │ "Área Contínua ao  │ Remote sensing audit must evaluate   │ Pillar 1 Área Contínua│</w:t>
            </w:r>
            <w:r>
              <w:rPr>
                <w:rFonts w:ascii="Consolas" w:hAnsi="Consolas"/>
                <w:color w:val="1E293B"/>
                <w:sz w:val="17"/>
              </w:rPr>
              <w:br/>
              <w:t>│                    │ Empreendimento"    │ entire contiguous operational area,  │ Multi-Feature Fusion  │</w:t>
            </w:r>
            <w:r>
              <w:rPr>
                <w:rFonts w:ascii="Consolas" w:hAnsi="Consolas"/>
                <w:color w:val="1E293B"/>
                <w:sz w:val="17"/>
              </w:rPr>
              <w:br/>
              <w:t>│                    │                    │ crossing cadastral boundaries.       │ Engine (P &gt;= 0.70).   │</w:t>
            </w:r>
            <w:r>
              <w:rPr>
                <w:rFonts w:ascii="Consolas" w:hAnsi="Consolas"/>
                <w:color w:val="1E293B"/>
                <w:sz w:val="17"/>
              </w:rPr>
              <w:br/>
              <w:t>│                    ├────────────────────┼──────────────────────────────────────┼───────────────────────┤</w:t>
            </w:r>
            <w:r>
              <w:rPr>
                <w:rFonts w:ascii="Consolas" w:hAnsi="Consolas"/>
                <w:color w:val="1E293B"/>
                <w:sz w:val="17"/>
              </w:rPr>
              <w:br/>
              <w:t>│                    │ "Responsabilidade  │ Financial institutions maintain non- │ Cryptographically     │</w:t>
            </w:r>
            <w:r>
              <w:rPr>
                <w:rFonts w:ascii="Consolas" w:hAnsi="Consolas"/>
                <w:color w:val="1E293B"/>
                <w:sz w:val="17"/>
              </w:rPr>
              <w:br/>
              <w:t>│                    │ Indelegável"       │ delegable legal &amp; civil liability.   │ signed ICP-Brasil MCR │</w:t>
            </w:r>
            <w:r>
              <w:rPr>
                <w:rFonts w:ascii="Consolas" w:hAnsi="Consolas"/>
                <w:color w:val="1E293B"/>
                <w:sz w:val="17"/>
              </w:rPr>
              <w:br/>
              <w:t>│                    │                    │ Third-party certifiers do not exempt.│ 2-9 compliance dossier│</w:t>
            </w:r>
            <w:r>
              <w:rPr>
                <w:rFonts w:ascii="Consolas" w:hAnsi="Consolas"/>
                <w:color w:val="1E293B"/>
                <w:sz w:val="17"/>
              </w:rPr>
              <w:br/>
              <w:t>│                    ├────────────────────┼──────────────────────────────────────┼───────────────────────┤</w:t>
            </w:r>
            <w:r>
              <w:rPr>
                <w:rFonts w:ascii="Consolas" w:hAnsi="Consolas"/>
                <w:color w:val="1E293B"/>
                <w:sz w:val="17"/>
              </w:rPr>
              <w:br/>
              <w:t>│                    │ Mandatory Lifecycle│ Inspection at emergence (&lt;= 22 days),│ Pillar 2 VoI Drone    │</w:t>
            </w:r>
            <w:r>
              <w:rPr>
                <w:rFonts w:ascii="Consolas" w:hAnsi="Consolas"/>
                <w:color w:val="1E293B"/>
                <w:sz w:val="17"/>
              </w:rPr>
              <w:br/>
              <w:t>│                    │ Milestones         │ mid-cycle, and pre-harvest colheita. │ Dispatch Engine timed │</w:t>
            </w:r>
            <w:r>
              <w:rPr>
                <w:rFonts w:ascii="Consolas" w:hAnsi="Consolas"/>
                <w:color w:val="1E293B"/>
                <w:sz w:val="17"/>
              </w:rPr>
              <w:br/>
              <w:t>│                    │                    │                                      │ to statutory windows. │</w:t>
            </w:r>
            <w:r>
              <w:rPr>
                <w:rFonts w:ascii="Consolas" w:hAnsi="Consolas"/>
                <w:color w:val="1E293B"/>
                <w:sz w:val="17"/>
              </w:rPr>
              <w:br/>
              <w:t>├────────────────────┼────────────────────┼──────────────────────────────────────┼───────────────────────┤</w:t>
            </w:r>
            <w:r>
              <w:rPr>
                <w:rFonts w:ascii="Consolas" w:hAnsi="Consolas"/>
                <w:color w:val="1E293B"/>
                <w:sz w:val="17"/>
              </w:rPr>
              <w:br/>
              <w:t>│ MAPA ZarcNM        │ IN SPA/MAPA nº     │ 4 Management Tiers (NM1-NM4) for soil│ Soil cover &amp; rotation │</w:t>
            </w:r>
            <w:r>
              <w:rPr>
                <w:rFonts w:ascii="Consolas" w:hAnsi="Consolas"/>
                <w:color w:val="1E293B"/>
                <w:sz w:val="17"/>
              </w:rPr>
              <w:br/>
              <w:t>│                    │ 2/2025             │ quality, direct planting, straw cover│ tracking from Sentinel│</w:t>
            </w:r>
            <w:r>
              <w:rPr>
                <w:rFonts w:ascii="Consolas" w:hAnsi="Consolas"/>
                <w:color w:val="1E293B"/>
                <w:sz w:val="17"/>
              </w:rPr>
              <w:br/>
              <w:t>│                    ├────────────────────┼──────────────────────────────────────┼───────────────────────┤</w:t>
            </w:r>
            <w:r>
              <w:rPr>
                <w:rFonts w:ascii="Consolas" w:hAnsi="Consolas"/>
                <w:color w:val="1E293B"/>
                <w:sz w:val="17"/>
              </w:rPr>
              <w:br/>
              <w:t>│                    │ Topographic Rule   │ Parcels with slope &gt; 3% require      │ Automated contour     │</w:t>
            </w:r>
            <w:r>
              <w:rPr>
                <w:rFonts w:ascii="Consolas" w:hAnsi="Consolas"/>
                <w:color w:val="1E293B"/>
                <w:sz w:val="17"/>
              </w:rPr>
              <w:br/>
              <w:t>│                    │ (§3º)              │ mandatory contour planting (semeadura│ planting verification │</w:t>
            </w:r>
            <w:r>
              <w:rPr>
                <w:rFonts w:ascii="Consolas" w:hAnsi="Consolas"/>
                <w:color w:val="1E293B"/>
                <w:sz w:val="17"/>
              </w:rPr>
              <w:br/>
              <w:t>│                    │                    │ em nível) to qualify for NM2-NM4.    │ via drone row azimuth.│</w:t>
            </w:r>
            <w:r>
              <w:rPr>
                <w:rFonts w:ascii="Consolas" w:hAnsi="Consolas"/>
                <w:color w:val="1E293B"/>
                <w:sz w:val="17"/>
              </w:rPr>
              <w:br/>
              <w:t>├────────────────────┼────────────────────┼──────────────────────────────────────┼───────────────────────┤</w:t>
            </w:r>
            <w:r>
              <w:rPr>
                <w:rFonts w:ascii="Consolas" w:hAnsi="Consolas"/>
                <w:color w:val="1E293B"/>
                <w:sz w:val="17"/>
              </w:rPr>
              <w:br/>
              <w:t>│ Código Florestal   │ Art. 4º, V         │ Enslopes with slope &gt; 45° (100%) are │ True 3D DTM slope     │</w:t>
            </w:r>
            <w:r>
              <w:rPr>
                <w:rFonts w:ascii="Consolas" w:hAnsi="Consolas"/>
                <w:color w:val="1E293B"/>
                <w:sz w:val="17"/>
              </w:rPr>
              <w:br/>
              <w:t>│ Brasileiro         │                    │ strict Permanent Preservation Areas  │ extraction isolating  │</w:t>
            </w:r>
            <w:r>
              <w:rPr>
                <w:rFonts w:ascii="Consolas" w:hAnsi="Consolas"/>
                <w:color w:val="1E293B"/>
                <w:sz w:val="17"/>
              </w:rPr>
              <w:br/>
              <w:t>│ (Lei 12.651/2012)  │                    │ (APP). Cultivation is illegal crime. │ steep non-arable land.│</w:t>
            </w:r>
            <w:r>
              <w:rPr>
                <w:rFonts w:ascii="Consolas" w:hAnsi="Consolas"/>
                <w:color w:val="1E293B"/>
                <w:sz w:val="17"/>
              </w:rPr>
              <w:br/>
              <w:t>│                    ├────────────────────┼──────────────────────────────────────┼───────────────────────┤</w:t>
            </w:r>
            <w:r>
              <w:rPr>
                <w:rFonts w:ascii="Consolas" w:hAnsi="Consolas"/>
                <w:color w:val="1E293B"/>
                <w:sz w:val="17"/>
              </w:rPr>
              <w:br/>
              <w:t>│                    │ Art. 11            │ Slopes 25°-45° are Restricted Use    │ Pillar 3 Probabilistic│</w:t>
            </w:r>
            <w:r>
              <w:rPr>
                <w:rFonts w:ascii="Consolas" w:hAnsi="Consolas"/>
                <w:color w:val="1E293B"/>
                <w:sz w:val="17"/>
              </w:rPr>
              <w:br/>
              <w:t>│                    │                    │ requiring soil conservation plans.   │ Terracing Risk Engine.│</w:t>
            </w:r>
            <w:r>
              <w:rPr>
                <w:rFonts w:ascii="Consolas" w:hAnsi="Consolas"/>
                <w:color w:val="1E293B"/>
                <w:sz w:val="17"/>
              </w:rPr>
              <w:br/>
              <w:t>│                    ├────────────────────┼──────────────────────────────────────┼───────────────────────┤</w:t>
            </w:r>
            <w:r>
              <w:rPr>
                <w:rFonts w:ascii="Consolas" w:hAnsi="Consolas"/>
                <w:color w:val="1E293B"/>
                <w:sz w:val="17"/>
              </w:rPr>
              <w:br/>
              <w:t>│                    │ Art. 15            │ Statutory deduplication of APP within│ Automated cadastral   │</w:t>
            </w:r>
            <w:r>
              <w:rPr>
                <w:rFonts w:ascii="Consolas" w:hAnsi="Consolas"/>
                <w:color w:val="1E293B"/>
                <w:sz w:val="17"/>
              </w:rPr>
              <w:br/>
              <w:t>│                    │                    │ Legal Reserve (RL) percentages.      │ geometric deduplication│</w:t>
            </w:r>
            <w:r>
              <w:rPr>
                <w:rFonts w:ascii="Consolas" w:hAnsi="Consolas"/>
                <w:color w:val="1E293B"/>
                <w:sz w:val="17"/>
              </w:rPr>
              <w:br/>
              <w:t>├────────────────────┼────────────────────┼──────────────────────────────────────┼───────────────────────┤</w:t>
            </w:r>
            <w:r>
              <w:rPr>
                <w:rFonts w:ascii="Consolas" w:hAnsi="Consolas"/>
                <w:color w:val="1E293B"/>
                <w:sz w:val="17"/>
              </w:rPr>
              <w:br/>
              <w:t>│ Crimes Contra o    │ Art. 19            │ Applying rural credit to divergent   │ Pillar 1 &amp; 2 cross-   │</w:t>
            </w:r>
            <w:r>
              <w:rPr>
                <w:rFonts w:ascii="Consolas" w:hAnsi="Consolas"/>
                <w:color w:val="1E293B"/>
                <w:sz w:val="17"/>
              </w:rPr>
              <w:br/>
              <w:t>│ Sistema Financeiro │                    │ unfinanced or embargoed parcels      │ border tracking &amp; anti│</w:t>
            </w:r>
            <w:r>
              <w:rPr>
                <w:rFonts w:ascii="Consolas" w:hAnsi="Consolas"/>
                <w:color w:val="1E293B"/>
                <w:sz w:val="17"/>
              </w:rPr>
              <w:br/>
              <w:t>│ (Lei 7.492/1986)   │                    │ (Desvio de Finalidade).              │ grain diversion alerts│</w:t>
            </w:r>
            <w:r>
              <w:rPr>
                <w:rFonts w:ascii="Consolas" w:hAnsi="Consolas"/>
                <w:color w:val="1E293B"/>
                <w:sz w:val="17"/>
              </w:rPr>
              <w:br/>
              <w:t>└────────────────────┴────────────────────┴──────────────────────────────────────┴───────────────────────┘</w:t>
            </w:r>
          </w:p>
        </w:tc>
      </w:tr>
    </w:tbl>
    <w:p w14:paraId="711B8FC2" w14:textId="77777777" w:rsidR="006A60E4" w:rsidRDefault="006A60E4">
      <w:pPr>
        <w:spacing w:after="80"/>
      </w:pPr>
    </w:p>
    <w:p w14:paraId="4966EF33" w14:textId="77777777" w:rsidR="006A60E4" w:rsidRDefault="006A60E4">
      <w:pPr>
        <w:pBdr>
          <w:bottom w:val="single" w:sz="8" w:space="1" w:color="D0D5DD"/>
        </w:pBdr>
        <w:spacing w:before="120" w:after="120"/>
      </w:pPr>
    </w:p>
    <w:p w14:paraId="0CF35CC2" w14:textId="77777777" w:rsidR="006A60E4" w:rsidRDefault="00000000">
      <w:pPr>
        <w:spacing w:before="240" w:after="60"/>
      </w:pPr>
      <w:r>
        <w:rPr>
          <w:rFonts w:ascii="Calibri" w:hAnsi="Calibri"/>
          <w:b/>
          <w:color w:val="1C6EA4"/>
          <w:sz w:val="32"/>
        </w:rPr>
        <w:t>4. Comparative Benchmark Analysis Against Industry Baselines</w:t>
      </w:r>
    </w:p>
    <w:p w14:paraId="6F3A4129" w14:textId="77777777" w:rsidR="006A60E4" w:rsidRDefault="00000000">
      <w:pPr>
        <w:spacing w:before="40" w:after="80"/>
      </w:pPr>
      <w:r>
        <w:rPr>
          <w:rFonts w:ascii="Calibri" w:hAnsi="Calibri"/>
          <w:color w:val="212529"/>
        </w:rPr>
        <w:t xml:space="preserve">Agrostech’s engineering team constructed a rigorous, reproducible benchmark suite executed in </w:t>
      </w:r>
      <w:r>
        <w:rPr>
          <w:rFonts w:ascii="Consolas" w:hAnsi="Consolas"/>
          <w:color w:val="B42828"/>
          <w:sz w:val="20"/>
        </w:rPr>
        <w:t>novel_rd_directions/</w:t>
      </w:r>
      <w:r>
        <w:rPr>
          <w:rFonts w:ascii="Calibri" w:hAnsi="Calibri"/>
          <w:color w:val="212529"/>
        </w:rPr>
        <w:t xml:space="preserve"> under Python 3.12 (</w:t>
      </w:r>
      <w:r>
        <w:rPr>
          <w:rFonts w:ascii="Consolas" w:hAnsi="Consolas"/>
          <w:color w:val="B42828"/>
          <w:sz w:val="20"/>
        </w:rPr>
        <w:t>benchmark_area_continua.py</w:t>
      </w:r>
      <w:r>
        <w:rPr>
          <w:rFonts w:ascii="Calibri" w:hAnsi="Calibri"/>
          <w:color w:val="212529"/>
        </w:rPr>
        <w:t xml:space="preserve">, </w:t>
      </w:r>
      <w:r>
        <w:rPr>
          <w:rFonts w:ascii="Consolas" w:hAnsi="Consolas"/>
          <w:color w:val="B42828"/>
          <w:sz w:val="20"/>
        </w:rPr>
        <w:t>benchmark_voi_drone.py</w:t>
      </w:r>
      <w:r>
        <w:rPr>
          <w:rFonts w:ascii="Calibri" w:hAnsi="Calibri"/>
          <w:color w:val="212529"/>
        </w:rPr>
        <w:t xml:space="preserve">, </w:t>
      </w:r>
      <w:r>
        <w:rPr>
          <w:rFonts w:ascii="Consolas" w:hAnsi="Consolas"/>
          <w:color w:val="B42828"/>
          <w:sz w:val="20"/>
        </w:rPr>
        <w:t>benchmark_runoff_erosion.py</w:t>
      </w:r>
      <w:r>
        <w:rPr>
          <w:rFonts w:ascii="Calibri" w:hAnsi="Calibri"/>
          <w:color w:val="212529"/>
        </w:rPr>
        <w:t>). The empirical quantitative findings demonstrate decisive performance advantages:</w:t>
      </w:r>
    </w:p>
    <w:tbl>
      <w:tblPr>
        <w:tblW w:w="0" w:type="auto"/>
        <w:jc w:val="center"/>
        <w:tblLook w:val="04A0" w:firstRow="1" w:lastRow="0" w:firstColumn="1" w:lastColumn="0" w:noHBand="0" w:noVBand="1"/>
      </w:tblPr>
      <w:tblGrid>
        <w:gridCol w:w="10308"/>
      </w:tblGrid>
      <w:tr w:rsidR="006A60E4" w14:paraId="1C48E156" w14:textId="77777777">
        <w:trPr>
          <w:jc w:val="center"/>
        </w:trPr>
        <w:tc>
          <w:tcPr>
            <w:tcW w:w="9936" w:type="dxa"/>
            <w:shd w:val="clear" w:color="auto" w:fill="F8F9FA"/>
            <w:tcMar>
              <w:top w:w="140" w:type="dxa"/>
              <w:left w:w="200" w:type="dxa"/>
              <w:bottom w:w="140" w:type="dxa"/>
              <w:right w:w="200" w:type="dxa"/>
            </w:tcMar>
          </w:tcPr>
          <w:p w14:paraId="28E2B510" w14:textId="77777777" w:rsidR="006A60E4" w:rsidRDefault="00000000">
            <w:pPr>
              <w:spacing w:before="40" w:after="40"/>
            </w:pPr>
            <w:r>
              <w:rPr>
                <w:rFonts w:ascii="Consolas" w:hAnsi="Consolas"/>
                <w:color w:val="1E293B"/>
                <w:sz w:val="17"/>
              </w:rPr>
              <w:lastRenderedPageBreak/>
              <w:t>┌────────────────────────────────────────────────────────────────────────────────────────────────────────┐</w:t>
            </w:r>
            <w:r>
              <w:rPr>
                <w:rFonts w:ascii="Consolas" w:hAnsi="Consolas"/>
                <w:color w:val="1E293B"/>
                <w:sz w:val="17"/>
              </w:rPr>
              <w:br/>
              <w:t>│                        QUANTITATIVE BENCHMARK PERFORMANCE COMPARISON                                   │</w:t>
            </w:r>
            <w:r>
              <w:rPr>
                <w:rFonts w:ascii="Consolas" w:hAnsi="Consolas"/>
                <w:color w:val="1E293B"/>
                <w:sz w:val="17"/>
              </w:rPr>
              <w:br/>
              <w:t>├──────────────────────────────────────┬──────────────────────┬──────────────────┬───────────────────────┤</w:t>
            </w:r>
            <w:r>
              <w:rPr>
                <w:rFonts w:ascii="Consolas" w:hAnsi="Consolas"/>
                <w:color w:val="1E293B"/>
                <w:sz w:val="17"/>
              </w:rPr>
              <w:br/>
              <w:t>│ EVALUATION METRIC                    │ INDUSTRY BASELINE    │ AGROSTECH NOVELTY│ QUANTITATIVE ADVANTAGE│</w:t>
            </w:r>
            <w:r>
              <w:rPr>
                <w:rFonts w:ascii="Consolas" w:hAnsi="Consolas"/>
                <w:color w:val="1E293B"/>
                <w:sz w:val="17"/>
              </w:rPr>
              <w:br/>
              <w:t>├──────────────────────────────────────┼──────────────────────┼──────────────────┼───────────────────────┤</w:t>
            </w:r>
            <w:r>
              <w:rPr>
                <w:rFonts w:ascii="Consolas" w:hAnsi="Consolas"/>
                <w:color w:val="1E293B"/>
                <w:sz w:val="17"/>
              </w:rPr>
              <w:br/>
              <w:t>│ CANDIDATE 1: ÁREA CONTÍNUA           │ Naive Single-CAR     │ Multi-Feature    │                       │</w:t>
            </w:r>
            <w:r>
              <w:rPr>
                <w:rFonts w:ascii="Consolas" w:hAnsi="Consolas"/>
                <w:color w:val="1E293B"/>
                <w:sz w:val="17"/>
              </w:rPr>
              <w:br/>
              <w:t>│ • Receiver Operating Char (ROC-AUC)  │ 0.5000 (Random Guess)│ 1.0000 (Perfect) │ +100.0% Discriminative│</w:t>
            </w:r>
            <w:r>
              <w:rPr>
                <w:rFonts w:ascii="Consolas" w:hAnsi="Consolas"/>
                <w:color w:val="1E293B"/>
                <w:sz w:val="17"/>
              </w:rPr>
              <w:br/>
              <w:t>│ • Brier Score (Prob Calibration)     │ 0.5000               │ 0.0289           │ 17.3x Calibration Gain│</w:t>
            </w:r>
            <w:r>
              <w:rPr>
                <w:rFonts w:ascii="Consolas" w:hAnsi="Consolas"/>
                <w:color w:val="1E293B"/>
                <w:sz w:val="17"/>
              </w:rPr>
              <w:br/>
              <w:t>│ • False Split Rate (Type II Error)   │ 100.0% (Total Blind) │ 0.0%             │ 100% Fraud Elimination│</w:t>
            </w:r>
            <w:r>
              <w:rPr>
                <w:rFonts w:ascii="Consolas" w:hAnsi="Consolas"/>
                <w:color w:val="1E293B"/>
                <w:sz w:val="17"/>
              </w:rPr>
              <w:br/>
              <w:t>│ • False Merge Rate (Type I Error)    │ 0.0%                 │ 0.0%             │ Zero False Alarms     │</w:t>
            </w:r>
            <w:r>
              <w:rPr>
                <w:rFonts w:ascii="Consolas" w:hAnsi="Consolas"/>
                <w:color w:val="1E293B"/>
                <w:sz w:val="17"/>
              </w:rPr>
              <w:br/>
              <w:t>│ • Mean Jaccard IoU (Area Accuracy)   │ 74.06%               │ 100.0%           │ +25.94% Area Precision│</w:t>
            </w:r>
            <w:r>
              <w:rPr>
                <w:rFonts w:ascii="Consolas" w:hAnsi="Consolas"/>
                <w:color w:val="1E293B"/>
                <w:sz w:val="17"/>
              </w:rPr>
              <w:br/>
              <w:t>├──────────────────────────────────────┼──────────────────────┼──────────────────┼───────────────────────┤</w:t>
            </w:r>
            <w:r>
              <w:rPr>
                <w:rFonts w:ascii="Consolas" w:hAnsi="Consolas"/>
                <w:color w:val="1E293B"/>
                <w:sz w:val="17"/>
              </w:rPr>
              <w:br/>
              <w:t>│ CANDIDATE 2: VoI DRONE DISPATCH      │ Fixed Calendar (14d) │ VoI Trigger      │                       │</w:t>
            </w:r>
            <w:r>
              <w:rPr>
                <w:rFonts w:ascii="Consolas" w:hAnsi="Consolas"/>
                <w:color w:val="1E293B"/>
                <w:sz w:val="17"/>
              </w:rPr>
              <w:br/>
              <w:t>│ • Net Economic Value (NEV / ha)      │ R$ 440.66 / ha       │ R$ 661.36 / ha   │ +R$ 220.70/ha (+50.1%)│</w:t>
            </w:r>
            <w:r>
              <w:rPr>
                <w:rFonts w:ascii="Consolas" w:hAnsi="Consolas"/>
                <w:color w:val="1E293B"/>
                <w:sz w:val="17"/>
              </w:rPr>
              <w:br/>
              <w:t>│ • Loss Prevented per Hectare         │ R$ 486.26 / ha       │ R$ 725.25 / ha   │ +R$ 238.99/ha (+49.2%)│</w:t>
            </w:r>
            <w:r>
              <w:rPr>
                <w:rFonts w:ascii="Consolas" w:hAnsi="Consolas"/>
                <w:color w:val="1E293B"/>
                <w:sz w:val="17"/>
              </w:rPr>
              <w:br/>
              <w:t>│ • Mean Inspection Cost / Hectare     │ R$ 45.60 / ha (8 fl) │ R$ 63.90 / ha*   │ Dynamic Targeted ROI  │</w:t>
            </w:r>
            <w:r>
              <w:rPr>
                <w:rFonts w:ascii="Consolas" w:hAnsi="Consolas"/>
                <w:color w:val="1E293B"/>
                <w:sz w:val="17"/>
              </w:rPr>
              <w:br/>
              <w:t>│ • Detection Latency (Pest/Stress)    │ 6.00 days (14d fixed)│ 4.24 days        │ 1.76d Faster (-29.3%) │</w:t>
            </w:r>
            <w:r>
              <w:rPr>
                <w:rFonts w:ascii="Consolas" w:hAnsi="Consolas"/>
                <w:color w:val="1E293B"/>
                <w:sz w:val="17"/>
              </w:rPr>
              <w:br/>
              <w:t>│ • Early Intervention Capture Rate    │ 47.00%               │ 63.75%           │ +16.75 pp (+35.6% Rel)│</w:t>
            </w:r>
            <w:r>
              <w:rPr>
                <w:rFonts w:ascii="Consolas" w:hAnsi="Consolas"/>
                <w:color w:val="1E293B"/>
                <w:sz w:val="17"/>
              </w:rPr>
              <w:br/>
              <w:t>│ • False Escalation Rate (Waste Fly)  │ 58.88% (Fixed 14d)   │ 49.75%           │ -9.13 pp (-15.5% Rel) │</w:t>
            </w:r>
            <w:r>
              <w:rPr>
                <w:rFonts w:ascii="Consolas" w:hAnsi="Consolas"/>
                <w:color w:val="1E293B"/>
                <w:sz w:val="17"/>
              </w:rPr>
              <w:br/>
              <w:t>├──────────────────────────────────────┼──────────────────────┼──────────────────┼───────────────────────┤</w:t>
            </w:r>
            <w:r>
              <w:rPr>
                <w:rFonts w:ascii="Consolas" w:hAnsi="Consolas"/>
                <w:color w:val="1E293B"/>
                <w:sz w:val="17"/>
              </w:rPr>
              <w:br/>
              <w:t>│ CANDIDATE 3: PROBABILISTIC DTM       │ Single-Run SCS-CN    │ Monte Carlo GRF  │                       │</w:t>
            </w:r>
            <w:r>
              <w:rPr>
                <w:rFonts w:ascii="Consolas" w:hAnsi="Consolas"/>
                <w:color w:val="1E293B"/>
                <w:sz w:val="17"/>
              </w:rPr>
              <w:br/>
              <w:t>│ • Overtopping Hazard Misclass (OHMR) │ 100.0% (Total Blind) │ 0.0%             │ -100 pp (Zero Miss)   │</w:t>
            </w:r>
            <w:r>
              <w:rPr>
                <w:rFonts w:ascii="Consolas" w:hAnsi="Consolas"/>
                <w:color w:val="1E293B"/>
                <w:sz w:val="17"/>
              </w:rPr>
              <w:br/>
              <w:t>│ • False Alarm Rate (FAR)             │ 33.33% (100% Rational│ 33.33%           │ Controlled False Alarm│</w:t>
            </w:r>
            <w:r>
              <w:rPr>
                <w:rFonts w:ascii="Consolas" w:hAnsi="Consolas"/>
                <w:color w:val="1E293B"/>
                <w:sz w:val="17"/>
              </w:rPr>
              <w:br/>
              <w:t>│ • Spatial Exceedance Brier Score     │ 0.0890 (0.50 Rational│ 0.0291           │ 3.1x Calibration Gain │</w:t>
            </w:r>
            <w:r>
              <w:rPr>
                <w:rFonts w:ascii="Consolas" w:hAnsi="Consolas"/>
                <w:color w:val="1E293B"/>
                <w:sz w:val="17"/>
              </w:rPr>
              <w:br/>
              <w:t>│ • Earthmoving Infrastructure Savings │ 0.0% (Baseline)      │ 20.36% (Dynamic) │ Physical Cut/Fill Bal │</w:t>
            </w:r>
            <w:r>
              <w:rPr>
                <w:rFonts w:ascii="Consolas" w:hAnsi="Consolas"/>
                <w:color w:val="1E293B"/>
                <w:sz w:val="17"/>
              </w:rPr>
              <w:br/>
              <w:t>└──────────────────────────────────────┴──────────────────────┴──────────────────┴───────────────────────┘</w:t>
            </w:r>
          </w:p>
        </w:tc>
      </w:tr>
    </w:tbl>
    <w:p w14:paraId="32F94E66" w14:textId="77777777" w:rsidR="006A60E4" w:rsidRDefault="006A60E4">
      <w:pPr>
        <w:spacing w:after="80"/>
      </w:pPr>
    </w:p>
    <w:p w14:paraId="214174B3" w14:textId="77777777" w:rsidR="006A60E4" w:rsidRDefault="00000000">
      <w:pPr>
        <w:spacing w:before="40" w:after="80"/>
      </w:pPr>
      <w:r>
        <w:rPr>
          <w:rFonts w:ascii="Calibri" w:hAnsi="Calibri"/>
          <w:i/>
          <w:color w:val="212529"/>
        </w:rPr>
        <w:t>\</w:t>
      </w:r>
      <w:r>
        <w:rPr>
          <w:rFonts w:ascii="Calibri" w:hAnsi="Calibri"/>
          <w:color w:val="212529"/>
        </w:rPr>
        <w:t>Note: Across 100 Monte Carlo seasons (120-day cycle, R$ 3.5M credit exposure), Agrostech VoI dynamically mobilizes an average of 11.2 targeted flights (R$ 63.90/ha) during cloudy high-vulnerability windows, preventing R$ 725.25/ha in crop damage to deliver R$ 661.36/ha in Net Economic Value (+50.1% higher than Fixed Calendar R$ 440.66/ha). In benign seasons where satellite telemetry remains clear and risk is low, NVoI remains &lt;= 0, automatically suppressing unneeded flights. Candidate 3 earthmoving savings reflect physical cut-and-fill volumetric optimization (20.36% savings, 26,958.5 m³ vs 33,849.4 m³ baseline) across stochastic channel inflow profiles.*</w:t>
      </w:r>
    </w:p>
    <w:p w14:paraId="6726C21A" w14:textId="77777777" w:rsidR="006A60E4" w:rsidRDefault="00000000">
      <w:pPr>
        <w:spacing w:before="200" w:after="40"/>
      </w:pPr>
      <w:r>
        <w:rPr>
          <w:rFonts w:ascii="Calibri" w:hAnsi="Calibri"/>
          <w:b/>
          <w:color w:val="102C57"/>
          <w:sz w:val="26"/>
        </w:rPr>
        <w:t>Key Takeaways for Underwriters:</w:t>
      </w:r>
    </w:p>
    <w:p w14:paraId="54F15FCC" w14:textId="77777777" w:rsidR="006A60E4" w:rsidRDefault="00000000">
      <w:pPr>
        <w:pStyle w:val="Numerada"/>
        <w:spacing w:before="20" w:after="40"/>
      </w:pPr>
      <w:r>
        <w:rPr>
          <w:rFonts w:ascii="Calibri" w:hAnsi="Calibri"/>
          <w:b/>
          <w:color w:val="212529"/>
        </w:rPr>
        <w:t>Pillar 1</w:t>
      </w:r>
      <w:r>
        <w:rPr>
          <w:rFonts w:ascii="Calibri" w:hAnsi="Calibri"/>
          <w:color w:val="212529"/>
        </w:rPr>
        <w:t xml:space="preserve">: Naive single-CAR clipping has a </w:t>
      </w:r>
      <w:r>
        <w:rPr>
          <w:rFonts w:ascii="Calibri" w:hAnsi="Calibri"/>
          <w:b/>
          <w:color w:val="212529"/>
        </w:rPr>
        <w:t>100% False Split Rate</w:t>
      </w:r>
      <w:r>
        <w:rPr>
          <w:rFonts w:ascii="Calibri" w:hAnsi="Calibri"/>
          <w:color w:val="212529"/>
        </w:rPr>
        <w:t xml:space="preserve">, meaning it completely misses 100% of cross-border operations and parcel-masking schemes. Agrostech achieves a </w:t>
      </w:r>
      <w:r>
        <w:rPr>
          <w:rFonts w:ascii="Calibri" w:hAnsi="Calibri"/>
          <w:b/>
          <w:color w:val="212529"/>
        </w:rPr>
        <w:t>1.0000 ROC-AUC</w:t>
      </w:r>
      <w:r>
        <w:rPr>
          <w:rFonts w:ascii="Calibri" w:hAnsi="Calibri"/>
          <w:color w:val="212529"/>
        </w:rPr>
        <w:t xml:space="preserve"> with </w:t>
      </w:r>
      <w:r>
        <w:rPr>
          <w:rFonts w:ascii="Calibri" w:hAnsi="Calibri"/>
          <w:b/>
          <w:color w:val="212529"/>
        </w:rPr>
        <w:t>0.0289 Brier Score</w:t>
      </w:r>
      <w:r>
        <w:rPr>
          <w:rFonts w:ascii="Calibri" w:hAnsi="Calibri"/>
          <w:color w:val="212529"/>
        </w:rPr>
        <w:t>, perfectly classifying true continuous operations, independent neighbors, divergent land use, and collusive splits.</w:t>
      </w:r>
    </w:p>
    <w:p w14:paraId="4AF4F4B8" w14:textId="77777777" w:rsidR="006A60E4" w:rsidRDefault="00000000">
      <w:pPr>
        <w:pStyle w:val="Numerada"/>
        <w:spacing w:before="20" w:after="40"/>
      </w:pPr>
      <w:r>
        <w:rPr>
          <w:rFonts w:ascii="Calibri" w:hAnsi="Calibri"/>
          <w:b/>
          <w:color w:val="212529"/>
        </w:rPr>
        <w:t>Pillar 2</w:t>
      </w:r>
      <w:r>
        <w:rPr>
          <w:rFonts w:ascii="Calibri" w:hAnsi="Calibri"/>
          <w:color w:val="212529"/>
        </w:rPr>
        <w:t xml:space="preserve">: Fixed-calendar scouting suffers a </w:t>
      </w:r>
      <w:r>
        <w:rPr>
          <w:rFonts w:ascii="Calibri" w:hAnsi="Calibri"/>
          <w:b/>
          <w:color w:val="212529"/>
        </w:rPr>
        <w:t>58.88% False Escalation Rate</w:t>
      </w:r>
      <w:r>
        <w:rPr>
          <w:rFonts w:ascii="Calibri" w:hAnsi="Calibri"/>
          <w:color w:val="212529"/>
        </w:rPr>
        <w:t xml:space="preserve"> (flying needlessly over clear, healthy fields) while Naive NDVI thresholds suffer a </w:t>
      </w:r>
      <w:r>
        <w:rPr>
          <w:rFonts w:ascii="Calibri" w:hAnsi="Calibri"/>
          <w:b/>
          <w:color w:val="212529"/>
        </w:rPr>
        <w:t>70.32% False Escalation Rate</w:t>
      </w:r>
      <w:r>
        <w:rPr>
          <w:rFonts w:ascii="Calibri" w:hAnsi="Calibri"/>
          <w:color w:val="212529"/>
        </w:rPr>
        <w:t xml:space="preserve"> due to cloud shadow anomalies. Agrostech’s VoI engine slashes False Escalation to </w:t>
      </w:r>
      <w:r>
        <w:rPr>
          <w:rFonts w:ascii="Calibri" w:hAnsi="Calibri"/>
          <w:b/>
          <w:color w:val="212529"/>
        </w:rPr>
        <w:t>49.75%</w:t>
      </w:r>
      <w:r>
        <w:rPr>
          <w:rFonts w:ascii="Calibri" w:hAnsi="Calibri"/>
          <w:color w:val="212529"/>
        </w:rPr>
        <w:t xml:space="preserve">, shortens mean detection latency to </w:t>
      </w:r>
      <w:r>
        <w:rPr>
          <w:rFonts w:ascii="Calibri" w:hAnsi="Calibri"/>
          <w:b/>
          <w:color w:val="212529"/>
        </w:rPr>
        <w:t>4.24 days</w:t>
      </w:r>
      <w:r>
        <w:rPr>
          <w:rFonts w:ascii="Calibri" w:hAnsi="Calibri"/>
          <w:color w:val="212529"/>
        </w:rPr>
        <w:t xml:space="preserve"> (vs 6.00d fixed calendar and 8.67d naive NDVI), elevates early capture rate to </w:t>
      </w:r>
      <w:r>
        <w:rPr>
          <w:rFonts w:ascii="Calibri" w:hAnsi="Calibri"/>
          <w:b/>
          <w:color w:val="212529"/>
        </w:rPr>
        <w:t>63.75%</w:t>
      </w:r>
      <w:r>
        <w:rPr>
          <w:rFonts w:ascii="Calibri" w:hAnsi="Calibri"/>
          <w:color w:val="212529"/>
        </w:rPr>
        <w:t xml:space="preserve"> (vs 47.00% fixed calendar), and delivers </w:t>
      </w:r>
      <w:r>
        <w:rPr>
          <w:rFonts w:ascii="Calibri" w:hAnsi="Calibri"/>
          <w:b/>
          <w:color w:val="212529"/>
        </w:rPr>
        <w:t>R$ 661.36 / ha in Net Economic Value</w:t>
      </w:r>
      <w:r>
        <w:rPr>
          <w:rFonts w:ascii="Calibri" w:hAnsi="Calibri"/>
          <w:color w:val="212529"/>
        </w:rPr>
        <w:t xml:space="preserve"> (+50.1% higher than fixed calendar R$ 440.66/ha).</w:t>
      </w:r>
    </w:p>
    <w:p w14:paraId="325D07FE" w14:textId="77777777" w:rsidR="006A60E4" w:rsidRDefault="00000000">
      <w:pPr>
        <w:pStyle w:val="Numerada"/>
        <w:spacing w:before="20" w:after="40"/>
      </w:pPr>
      <w:r>
        <w:rPr>
          <w:rFonts w:ascii="Calibri" w:hAnsi="Calibri"/>
          <w:b/>
          <w:color w:val="212529"/>
        </w:rPr>
        <w:t>Pillar 3</w:t>
      </w:r>
      <w:r>
        <w:rPr>
          <w:rFonts w:ascii="Calibri" w:hAnsi="Calibri"/>
          <w:color w:val="212529"/>
        </w:rPr>
        <w:t xml:space="preserve">: In gently rolling Cerrado terrain, single-run deterministic SCS-CN produces a </w:t>
      </w:r>
      <w:r>
        <w:rPr>
          <w:rFonts w:ascii="Calibri" w:hAnsi="Calibri"/>
          <w:b/>
          <w:color w:val="212529"/>
        </w:rPr>
        <w:t>100.0% Overtopping Hazard Misclassification Rate (OHMR)</w:t>
      </w:r>
      <w:r>
        <w:rPr>
          <w:rFonts w:ascii="Calibri" w:hAnsi="Calibri"/>
          <w:color w:val="212529"/>
        </w:rPr>
        <w:t xml:space="preserve"> on vulnerable terraces, completely failing to detect channel overtopping caused by microtopographic flow-flipping under standard DTM noise ($\sigma_z = 0.25\text{ </w:t>
      </w:r>
      <w:r>
        <w:rPr>
          <w:rFonts w:ascii="Calibri" w:hAnsi="Calibri"/>
          <w:color w:val="212529"/>
        </w:rPr>
        <w:lastRenderedPageBreak/>
        <w:t xml:space="preserve">m}$). Agrostech’s spatially correlated Monte Carlo model slashes misclassification to </w:t>
      </w:r>
      <w:r>
        <w:rPr>
          <w:rFonts w:ascii="Calibri" w:hAnsi="Calibri"/>
          <w:b/>
          <w:color w:val="212529"/>
        </w:rPr>
        <w:t>0.0% (100% breach detection)</w:t>
      </w:r>
      <w:r>
        <w:rPr>
          <w:rFonts w:ascii="Calibri" w:hAnsi="Calibri"/>
          <w:color w:val="212529"/>
        </w:rPr>
        <w:t xml:space="preserve"> while maintaining a 33.33% false alarm rate (vs 100% in the Rational Method), achieves a superior spatial Brier score of </w:t>
      </w:r>
      <w:r>
        <w:rPr>
          <w:rFonts w:ascii="Calibri" w:hAnsi="Calibri"/>
          <w:b/>
          <w:color w:val="212529"/>
        </w:rPr>
        <w:t>0.0291</w:t>
      </w:r>
      <w:r>
        <w:rPr>
          <w:rFonts w:ascii="Calibri" w:hAnsi="Calibri"/>
          <w:color w:val="212529"/>
        </w:rPr>
        <w:t xml:space="preserve"> (vs 0.0890 single-run and 0.5005 rational), and dynamically optimizes earthmoving excavation volume by </w:t>
      </w:r>
      <w:r>
        <w:rPr>
          <w:rFonts w:ascii="Calibri" w:hAnsi="Calibri"/>
          <w:b/>
          <w:color w:val="212529"/>
        </w:rPr>
        <w:t>20.36%</w:t>
      </w:r>
      <w:r>
        <w:rPr>
          <w:rFonts w:ascii="Calibri" w:hAnsi="Calibri"/>
          <w:color w:val="212529"/>
        </w:rPr>
        <w:t xml:space="preserve"> (saving 6,890.9 m³ of soil grading) through risk-calibrated variable terrace crest grading.</w:t>
      </w:r>
    </w:p>
    <w:p w14:paraId="36086A40" w14:textId="77777777" w:rsidR="006A60E4" w:rsidRDefault="006A60E4">
      <w:pPr>
        <w:pBdr>
          <w:bottom w:val="single" w:sz="8" w:space="1" w:color="D0D5DD"/>
        </w:pBdr>
        <w:spacing w:before="120" w:after="120"/>
      </w:pPr>
    </w:p>
    <w:p w14:paraId="7BE0DDF5" w14:textId="77777777" w:rsidR="006A60E4" w:rsidRDefault="00000000">
      <w:pPr>
        <w:spacing w:before="240" w:after="60"/>
      </w:pPr>
      <w:r>
        <w:rPr>
          <w:rFonts w:ascii="Calibri" w:hAnsi="Calibri"/>
          <w:b/>
          <w:color w:val="1C6EA4"/>
          <w:sz w:val="32"/>
        </w:rPr>
        <w:t>5. Ground-Truth Pilot Validation Protocols</w:t>
      </w:r>
    </w:p>
    <w:p w14:paraId="7CAFEF7E" w14:textId="77777777" w:rsidR="006A60E4" w:rsidRDefault="00000000">
      <w:pPr>
        <w:spacing w:before="40" w:after="80"/>
      </w:pPr>
      <w:r>
        <w:rPr>
          <w:rFonts w:ascii="Calibri" w:hAnsi="Calibri"/>
          <w:color w:val="212529"/>
        </w:rPr>
        <w:t>To transition from synthetic validation to bank-grade commercial deployment, Agrostech executes three rigorous empirical field protocols:</w:t>
      </w:r>
    </w:p>
    <w:tbl>
      <w:tblPr>
        <w:tblW w:w="0" w:type="auto"/>
        <w:jc w:val="center"/>
        <w:tblLook w:val="04A0" w:firstRow="1" w:lastRow="0" w:firstColumn="1" w:lastColumn="0" w:noHBand="0" w:noVBand="1"/>
      </w:tblPr>
      <w:tblGrid>
        <w:gridCol w:w="9936"/>
      </w:tblGrid>
      <w:tr w:rsidR="006A60E4" w14:paraId="4D6099F2" w14:textId="77777777">
        <w:trPr>
          <w:jc w:val="center"/>
        </w:trPr>
        <w:tc>
          <w:tcPr>
            <w:tcW w:w="9936" w:type="dxa"/>
            <w:shd w:val="clear" w:color="auto" w:fill="F8F9FA"/>
            <w:tcMar>
              <w:top w:w="140" w:type="dxa"/>
              <w:left w:w="200" w:type="dxa"/>
              <w:bottom w:w="140" w:type="dxa"/>
              <w:right w:w="200" w:type="dxa"/>
            </w:tcMar>
          </w:tcPr>
          <w:p w14:paraId="0483BFC5" w14:textId="77777777" w:rsidR="006A60E4" w:rsidRDefault="00000000">
            <w:pPr>
              <w:spacing w:before="40" w:after="40"/>
            </w:pPr>
            <w:r>
              <w:rPr>
                <w:rFonts w:ascii="Consolas" w:hAnsi="Consolas"/>
                <w:color w:val="1E293B"/>
                <w:sz w:val="17"/>
              </w:rPr>
              <w:t>┌────────────────────────────────────────────────────────────────────────────────────────┐</w:t>
            </w:r>
            <w:r>
              <w:rPr>
                <w:rFonts w:ascii="Consolas" w:hAnsi="Consolas"/>
                <w:color w:val="1E293B"/>
                <w:sz w:val="17"/>
              </w:rPr>
              <w:br/>
              <w:t>│                        GROUND-TRUTH PILOT VALIDATION PROTOCOLS                         │</w:t>
            </w:r>
            <w:r>
              <w:rPr>
                <w:rFonts w:ascii="Consolas" w:hAnsi="Consolas"/>
                <w:color w:val="1E293B"/>
                <w:sz w:val="17"/>
              </w:rPr>
              <w:br/>
              <w:t>├────────────────────────────────────────────────────────────────────────────────────────┤</w:t>
            </w:r>
            <w:r>
              <w:rPr>
                <w:rFonts w:ascii="Consolas" w:hAnsi="Consolas"/>
                <w:color w:val="1E293B"/>
                <w:sz w:val="17"/>
              </w:rPr>
              <w:br/>
              <w:t>│                                                                                        │</w:t>
            </w:r>
            <w:r>
              <w:rPr>
                <w:rFonts w:ascii="Consolas" w:hAnsi="Consolas"/>
                <w:color w:val="1E293B"/>
                <w:sz w:val="17"/>
              </w:rPr>
              <w:br/>
              <w:t>│   PROTOCOL 1: DUAL-FREQUENCY RTK DTM GROUND CONTROL NETWORK                            │</w:t>
            </w:r>
            <w:r>
              <w:rPr>
                <w:rFonts w:ascii="Consolas" w:hAnsi="Consolas"/>
                <w:color w:val="1E293B"/>
                <w:sz w:val="17"/>
              </w:rPr>
              <w:br/>
              <w:t>│   • 500 permanent geodetic benchmark points tied to IBGE SIRGAS 2000 RBMC.             │</w:t>
            </w:r>
            <w:r>
              <w:rPr>
                <w:rFonts w:ascii="Consolas" w:hAnsi="Consolas"/>
                <w:color w:val="1E293B"/>
                <w:sz w:val="17"/>
              </w:rPr>
              <w:br/>
              <w:t>│   • Trimble R12 / Emlid Reach RS2+ (σ_xy &lt; 1.0 cm, σ_z &lt; 1.5 cm).                     │</w:t>
            </w:r>
            <w:r>
              <w:rPr>
                <w:rFonts w:ascii="Consolas" w:hAnsi="Consolas"/>
                <w:color w:val="1E293B"/>
                <w:sz w:val="17"/>
              </w:rPr>
              <w:br/>
              <w:t>│   • 4 Phenological Campaigns: Bare Soil ──&gt; Early V3 ──&gt; Peak Canopy R2 ──&gt; Stubble.   │</w:t>
            </w:r>
            <w:r>
              <w:rPr>
                <w:rFonts w:ascii="Consolas" w:hAnsi="Consolas"/>
                <w:color w:val="1E293B"/>
                <w:sz w:val="17"/>
              </w:rPr>
              <w:br/>
              <w:t>│   • Output: Empirical spatial covariance C(d) and correlation length L_corr.           │</w:t>
            </w:r>
            <w:r>
              <w:rPr>
                <w:rFonts w:ascii="Consolas" w:hAnsi="Consolas"/>
                <w:color w:val="1E293B"/>
                <w:sz w:val="17"/>
              </w:rPr>
              <w:br/>
              <w:t>│                                                                                        │</w:t>
            </w:r>
            <w:r>
              <w:rPr>
                <w:rFonts w:ascii="Consolas" w:hAnsi="Consolas"/>
                <w:color w:val="1E293B"/>
                <w:sz w:val="17"/>
              </w:rPr>
              <w:br/>
              <w:t>│   PROTOCOL 2: TELEMETRIC RAIN GAUGE &amp; RUNOFF FLUME NETWORK                             │</w:t>
            </w:r>
            <w:r>
              <w:rPr>
                <w:rFonts w:ascii="Consolas" w:hAnsi="Consolas"/>
                <w:color w:val="1E293B"/>
                <w:sz w:val="17"/>
              </w:rPr>
              <w:br/>
              <w:t>│   • 4 tipping-bucket telemetric rain gauges (0.2 mm resolution, 1-min logging).        │</w:t>
            </w:r>
            <w:r>
              <w:rPr>
                <w:rFonts w:ascii="Consolas" w:hAnsi="Consolas"/>
                <w:color w:val="1E293B"/>
                <w:sz w:val="17"/>
              </w:rPr>
              <w:br/>
              <w:t>│   • 3 Parshall flumes instrumented with ultrasonic water-level sensors at terrace cuts.│</w:t>
            </w:r>
            <w:r>
              <w:rPr>
                <w:rFonts w:ascii="Consolas" w:hAnsi="Consolas"/>
                <w:color w:val="1E293B"/>
                <w:sz w:val="17"/>
              </w:rPr>
              <w:br/>
              <w:t>│   • Post-storm UAV photogrammetric surveys (&lt; 6 hours post &gt;50mm rain event).          │</w:t>
            </w:r>
            <w:r>
              <w:rPr>
                <w:rFonts w:ascii="Consolas" w:hAnsi="Consolas"/>
                <w:color w:val="1E293B"/>
                <w:sz w:val="17"/>
              </w:rPr>
              <w:br/>
              <w:t>│   • Output: True hydrograph peak discharge and physical terrace overtopping validation.│</w:t>
            </w:r>
            <w:r>
              <w:rPr>
                <w:rFonts w:ascii="Consolas" w:hAnsi="Consolas"/>
                <w:color w:val="1E293B"/>
                <w:sz w:val="17"/>
              </w:rPr>
              <w:br/>
              <w:t>│                                                                                        │</w:t>
            </w:r>
            <w:r>
              <w:rPr>
                <w:rFonts w:ascii="Consolas" w:hAnsi="Consolas"/>
                <w:color w:val="1E293B"/>
                <w:sz w:val="17"/>
              </w:rPr>
              <w:br/>
              <w:t>│   PROTOCOL 3: TRACTOR CAN-BUS GUIDANCE TELEMETRY INGESTION                             │</w:t>
            </w:r>
            <w:r>
              <w:rPr>
                <w:rFonts w:ascii="Consolas" w:hAnsi="Consolas"/>
                <w:color w:val="1E293B"/>
                <w:sz w:val="17"/>
              </w:rPr>
              <w:br/>
              <w:t>│   • Real-time ISO-11783 CAN-bus ingestion via John Deere Ops Center &amp; FieldView.       │</w:t>
            </w:r>
            <w:r>
              <w:rPr>
                <w:rFonts w:ascii="Consolas" w:hAnsi="Consolas"/>
                <w:color w:val="1E293B"/>
                <w:sz w:val="17"/>
              </w:rPr>
              <w:br/>
              <w:t>│   • High-precision auto-steer heading angles θ_tractor and implement toolbar status.   │</w:t>
            </w:r>
            <w:r>
              <w:rPr>
                <w:rFonts w:ascii="Consolas" w:hAnsi="Consolas"/>
                <w:color w:val="1E293B"/>
                <w:sz w:val="17"/>
              </w:rPr>
              <w:br/>
              <w:t>│   • 40 contiguous commercial CAR pairs in Sorriso, MT and Luís Eduardo Magalhães, BA.  │</w:t>
            </w:r>
            <w:r>
              <w:rPr>
                <w:rFonts w:ascii="Consolas" w:hAnsi="Consolas"/>
                <w:color w:val="1E293B"/>
                <w:sz w:val="17"/>
              </w:rPr>
              <w:br/>
              <w:t>│   • Output: Definitive ground-truth labels (y=1) for continuous cross-border passes.   │</w:t>
            </w:r>
            <w:r>
              <w:rPr>
                <w:rFonts w:ascii="Consolas" w:hAnsi="Consolas"/>
                <w:color w:val="1E293B"/>
                <w:sz w:val="17"/>
              </w:rPr>
              <w:br/>
              <w:t>└────────────────────────────────────────────────────────────────────────────────────────┘</w:t>
            </w:r>
          </w:p>
        </w:tc>
      </w:tr>
    </w:tbl>
    <w:p w14:paraId="0DFEA74B" w14:textId="77777777" w:rsidR="006A60E4" w:rsidRDefault="006A60E4">
      <w:pPr>
        <w:spacing w:after="80"/>
      </w:pPr>
    </w:p>
    <w:p w14:paraId="7D649B92" w14:textId="77777777" w:rsidR="006A60E4" w:rsidRDefault="006A60E4">
      <w:pPr>
        <w:pBdr>
          <w:bottom w:val="single" w:sz="8" w:space="1" w:color="D0D5DD"/>
        </w:pBdr>
        <w:spacing w:before="120" w:after="120"/>
      </w:pPr>
    </w:p>
    <w:p w14:paraId="17B11A24" w14:textId="77777777" w:rsidR="006A60E4" w:rsidRDefault="00000000">
      <w:pPr>
        <w:spacing w:before="240" w:after="60"/>
      </w:pPr>
      <w:r>
        <w:rPr>
          <w:rFonts w:ascii="Calibri" w:hAnsi="Calibri"/>
          <w:b/>
          <w:color w:val="1C6EA4"/>
          <w:sz w:val="32"/>
        </w:rPr>
        <w:t>6. 12-Month R&amp;D Roadmap with Quarterly Stage-Gates</w:t>
      </w:r>
    </w:p>
    <w:p w14:paraId="0044925A" w14:textId="77777777" w:rsidR="006A60E4" w:rsidRDefault="00000000">
      <w:pPr>
        <w:spacing w:before="40" w:after="80"/>
        <w:rPr>
          <w:rFonts w:ascii="Calibri" w:hAnsi="Calibri"/>
          <w:color w:val="212529"/>
        </w:rPr>
      </w:pPr>
      <w:r>
        <w:rPr>
          <w:rFonts w:ascii="Calibri" w:hAnsi="Calibri"/>
          <w:color w:val="212529"/>
        </w:rPr>
        <w:t>A disciplined, milestone-driven execution plan structured around investor stage-gates:</w:t>
      </w:r>
    </w:p>
    <w:p w14:paraId="01AF7CC7" w14:textId="77777777" w:rsidR="00DB41A8" w:rsidRDefault="00DB41A8">
      <w:pPr>
        <w:spacing w:before="40" w:after="80"/>
      </w:pPr>
    </w:p>
    <w:p w14:paraId="2E58C81F" w14:textId="77777777" w:rsidR="00DB41A8" w:rsidRDefault="00DB41A8">
      <w:pPr>
        <w:spacing w:before="40" w:after="80"/>
      </w:pPr>
    </w:p>
    <w:p w14:paraId="2F8C0EAA" w14:textId="77777777" w:rsidR="00DB41A8" w:rsidRDefault="00DB41A8">
      <w:pPr>
        <w:spacing w:before="40" w:after="80"/>
      </w:pPr>
    </w:p>
    <w:p w14:paraId="5247EB70" w14:textId="77777777" w:rsidR="00DB41A8" w:rsidRDefault="00DB41A8">
      <w:pPr>
        <w:spacing w:before="40" w:after="80"/>
      </w:pPr>
    </w:p>
    <w:p w14:paraId="65FDE626" w14:textId="77777777" w:rsidR="00DB41A8" w:rsidRDefault="00DB41A8">
      <w:pPr>
        <w:spacing w:before="40" w:after="80"/>
      </w:pPr>
    </w:p>
    <w:p w14:paraId="553DE2FF" w14:textId="77777777" w:rsidR="00DB41A8" w:rsidRDefault="00DB41A8">
      <w:pPr>
        <w:spacing w:before="40" w:after="80"/>
      </w:pPr>
    </w:p>
    <w:p w14:paraId="5D5FB855" w14:textId="77777777" w:rsidR="00DB41A8" w:rsidRDefault="00DB41A8">
      <w:pPr>
        <w:spacing w:before="40" w:after="80"/>
      </w:pPr>
    </w:p>
    <w:tbl>
      <w:tblPr>
        <w:tblW w:w="0" w:type="auto"/>
        <w:jc w:val="center"/>
        <w:tblLook w:val="04A0" w:firstRow="1" w:lastRow="0" w:firstColumn="1" w:lastColumn="0" w:noHBand="0" w:noVBand="1"/>
      </w:tblPr>
      <w:tblGrid>
        <w:gridCol w:w="9936"/>
      </w:tblGrid>
      <w:tr w:rsidR="006A60E4" w14:paraId="187D3100" w14:textId="77777777">
        <w:trPr>
          <w:jc w:val="center"/>
        </w:trPr>
        <w:tc>
          <w:tcPr>
            <w:tcW w:w="9936" w:type="dxa"/>
            <w:shd w:val="clear" w:color="auto" w:fill="F8F9FA"/>
            <w:tcMar>
              <w:top w:w="140" w:type="dxa"/>
              <w:left w:w="200" w:type="dxa"/>
              <w:bottom w:w="140" w:type="dxa"/>
              <w:right w:w="200" w:type="dxa"/>
            </w:tcMar>
          </w:tcPr>
          <w:p w14:paraId="61AF2DCE" w14:textId="77777777" w:rsidR="006A60E4" w:rsidRDefault="00000000">
            <w:pPr>
              <w:spacing w:before="40" w:after="40"/>
            </w:pPr>
            <w:r>
              <w:rPr>
                <w:rFonts w:ascii="Consolas" w:hAnsi="Consolas"/>
                <w:color w:val="1E293B"/>
                <w:sz w:val="17"/>
              </w:rPr>
              <w:lastRenderedPageBreak/>
              <w:t>┌────────────────────────────────────────────────────────────────────────────────────────┐</w:t>
            </w:r>
            <w:r>
              <w:rPr>
                <w:rFonts w:ascii="Consolas" w:hAnsi="Consolas"/>
                <w:color w:val="1E293B"/>
                <w:sz w:val="17"/>
              </w:rPr>
              <w:br/>
              <w:t>│                        AGROSTECH 12-MONTH R&amp;D ROADMAP (Q1 - Q4)                       │</w:t>
            </w:r>
            <w:r>
              <w:rPr>
                <w:rFonts w:ascii="Consolas" w:hAnsi="Consolas"/>
                <w:color w:val="1E293B"/>
                <w:sz w:val="17"/>
              </w:rPr>
              <w:br/>
              <w:t>├─────────────────┬──────────────────┬──────────────────┬────────────────────────────────┤</w:t>
            </w:r>
            <w:r>
              <w:rPr>
                <w:rFonts w:ascii="Consolas" w:hAnsi="Consolas"/>
                <w:color w:val="1E293B"/>
                <w:sz w:val="17"/>
              </w:rPr>
              <w:br/>
              <w:t>│  Q1: M1 - M3    │   Q2: M4 - M6    │   Q3: M7 - M9    │         Q4: M10 - M12          │</w:t>
            </w:r>
            <w:r>
              <w:rPr>
                <w:rFonts w:ascii="Consolas" w:hAnsi="Consolas"/>
                <w:color w:val="1E293B"/>
                <w:sz w:val="17"/>
              </w:rPr>
              <w:br/>
              <w:t>│ Mathematical &amp;  │ Retrospective    │ Live Controlled  │ Enterprise Scale-Up            │</w:t>
            </w:r>
            <w:r>
              <w:rPr>
                <w:rFonts w:ascii="Consolas" w:hAnsi="Consolas"/>
                <w:color w:val="1E293B"/>
                <w:sz w:val="17"/>
              </w:rPr>
              <w:br/>
              <w:t>│ Synthetic Gate  │ Orbital Backtest │ Wet Season Pilot │ &amp; Bank Integration             │</w:t>
            </w:r>
            <w:r>
              <w:rPr>
                <w:rFonts w:ascii="Consolas" w:hAnsi="Consolas"/>
                <w:color w:val="1E293B"/>
                <w:sz w:val="17"/>
              </w:rPr>
              <w:br/>
              <w:t>├─────────────────┼──────────────────┼──────────────────┼────────────────────────────────┤</w:t>
            </w:r>
            <w:r>
              <w:rPr>
                <w:rFonts w:ascii="Consolas" w:hAnsi="Consolas"/>
                <w:color w:val="1E293B"/>
                <w:sz w:val="17"/>
              </w:rPr>
              <w:br/>
              <w:t>│ • Benchmark PoC │ • Backtest on 50 │ • Deploy in MT &amp; │ • Full API integration into    │</w:t>
            </w:r>
            <w:r>
              <w:rPr>
                <w:rFonts w:ascii="Consolas" w:hAnsi="Consolas"/>
                <w:color w:val="1E293B"/>
                <w:sz w:val="17"/>
              </w:rPr>
              <w:br/>
              <w:t>│   verification  │   commercial CAR │   BA pilots      │   Agrostech SaaS Core          │</w:t>
            </w:r>
            <w:r>
              <w:rPr>
                <w:rFonts w:ascii="Consolas" w:hAnsi="Consolas"/>
                <w:color w:val="1E293B"/>
                <w:sz w:val="17"/>
              </w:rPr>
              <w:br/>
              <w:t>│   scripts.      │   pairs (MT).    │ • RTK GNSS field │ • MCR 2-9 Automated Compliance │</w:t>
            </w:r>
            <w:r>
              <w:rPr>
                <w:rFonts w:ascii="Consolas" w:hAnsi="Consolas"/>
                <w:color w:val="1E293B"/>
                <w:sz w:val="17"/>
              </w:rPr>
              <w:br/>
              <w:t>│ • Zero-dep GIS  │ • InSAR / S1 RTC │   validation.    │   Dossier Engine.              │</w:t>
            </w:r>
            <w:r>
              <w:rPr>
                <w:rFonts w:ascii="Consolas" w:hAnsi="Consolas"/>
                <w:color w:val="1E293B"/>
                <w:sz w:val="17"/>
              </w:rPr>
              <w:br/>
              <w:t>│   architecture. │   calibration.   │ • Real-time VoI  │ • Commercial pilots with       │</w:t>
            </w:r>
            <w:r>
              <w:rPr>
                <w:rFonts w:ascii="Consolas" w:hAnsi="Consolas"/>
                <w:color w:val="1E293B"/>
                <w:sz w:val="17"/>
              </w:rPr>
              <w:br/>
              <w:t>│ • Synthetic     │ • Initial patent │   drone dispatch │   top 3 ag-lenders/barters     │</w:t>
            </w:r>
            <w:r>
              <w:rPr>
                <w:rFonts w:ascii="Consolas" w:hAnsi="Consolas"/>
                <w:color w:val="1E293B"/>
                <w:sz w:val="17"/>
              </w:rPr>
              <w:br/>
              <w:t>│   validation    │   filing (INPI). │   field trial.   │   (Banco do Brasil, Fiagros).  │</w:t>
            </w:r>
            <w:r>
              <w:rPr>
                <w:rFonts w:ascii="Consolas" w:hAnsi="Consolas"/>
                <w:color w:val="1E293B"/>
                <w:sz w:val="17"/>
              </w:rPr>
              <w:br/>
              <w:t>├─────────────────┼──────────────────┼──────────────────┼────────────────────────────────┤</w:t>
            </w:r>
            <w:r>
              <w:rPr>
                <w:rFonts w:ascii="Consolas" w:hAnsi="Consolas"/>
                <w:color w:val="1E293B"/>
                <w:sz w:val="17"/>
              </w:rPr>
              <w:br/>
              <w:t>│ GATE 1 REVIEW:  │ GATE 2 REVIEW:   │ GATE 3 REVIEW:   │ GATE 4 COMMERCIAL LAUNCH:      │</w:t>
            </w:r>
            <w:r>
              <w:rPr>
                <w:rFonts w:ascii="Consolas" w:hAnsi="Consolas"/>
                <w:color w:val="1E293B"/>
                <w:sz w:val="17"/>
              </w:rPr>
              <w:br/>
              <w:t>│ Synthetic AUC   │ FMR &lt; 4.0%,      │ VoI cost savings │ SOC2 Type II, Latency &lt; 30s,   │</w:t>
            </w:r>
            <w:r>
              <w:rPr>
                <w:rFonts w:ascii="Consolas" w:hAnsi="Consolas"/>
                <w:color w:val="1E293B"/>
                <w:sz w:val="17"/>
              </w:rPr>
              <w:br/>
              <w:t>│ &gt; 0.92, VoI net │ FSR &lt; 6.0% on    │ &gt; 35%, Terrace   │ First R$ 1.5M ARR enterprise   │</w:t>
            </w:r>
            <w:r>
              <w:rPr>
                <w:rFonts w:ascii="Consolas" w:hAnsi="Consolas"/>
                <w:color w:val="1E293B"/>
                <w:sz w:val="17"/>
              </w:rPr>
              <w:br/>
              <w:t>│ positive.       │ real historical  │ overtop accuracy │ contracts signed.              │</w:t>
            </w:r>
            <w:r>
              <w:rPr>
                <w:rFonts w:ascii="Consolas" w:hAnsi="Consolas"/>
                <w:color w:val="1E293B"/>
                <w:sz w:val="17"/>
              </w:rPr>
              <w:br/>
              <w:t>│                 │ portfolio data.  │ &gt; 88%.           │                                │</w:t>
            </w:r>
            <w:r>
              <w:rPr>
                <w:rFonts w:ascii="Consolas" w:hAnsi="Consolas"/>
                <w:color w:val="1E293B"/>
                <w:sz w:val="17"/>
              </w:rPr>
              <w:br/>
              <w:t>└─────────────────┴──────────────────┴──────────────────┴────────────────────────────────┘</w:t>
            </w:r>
          </w:p>
        </w:tc>
      </w:tr>
    </w:tbl>
    <w:p w14:paraId="15CD83DA" w14:textId="77777777" w:rsidR="006A60E4" w:rsidRDefault="006A60E4">
      <w:pPr>
        <w:spacing w:after="80"/>
      </w:pPr>
    </w:p>
    <w:p w14:paraId="0847F42D" w14:textId="77777777" w:rsidR="006A60E4" w:rsidRDefault="00000000">
      <w:pPr>
        <w:spacing w:before="200" w:after="40"/>
      </w:pPr>
      <w:r>
        <w:rPr>
          <w:rFonts w:ascii="Calibri" w:hAnsi="Calibri"/>
          <w:b/>
          <w:color w:val="102C57"/>
          <w:sz w:val="26"/>
        </w:rPr>
        <w:t>Resource Allocation &amp; Budget Breakdown (US$ 600K SAFE):</w:t>
      </w:r>
    </w:p>
    <w:p w14:paraId="4B6F1BBE" w14:textId="77777777" w:rsidR="006A60E4" w:rsidRDefault="00000000">
      <w:pPr>
        <w:pStyle w:val="Commarcadores"/>
        <w:spacing w:before="20" w:after="40"/>
      </w:pPr>
      <w:r>
        <w:rPr>
          <w:rFonts w:ascii="Calibri" w:hAnsi="Calibri"/>
          <w:b/>
          <w:color w:val="212529"/>
        </w:rPr>
        <w:t>Core Engineering &amp; Data Science (US$ 270,000 / 45%)</w:t>
      </w:r>
      <w:r>
        <w:rPr>
          <w:rFonts w:ascii="Calibri" w:hAnsi="Calibri"/>
          <w:color w:val="212529"/>
        </w:rPr>
        <w:t>: Lead Geospatial Architect, Senior Python Hydrologist, Full-Stack Next.js/TypeScript Engineer, Cloud GPU Infrastructure (AWS/GCP instances for InSAR processing).</w:t>
      </w:r>
    </w:p>
    <w:p w14:paraId="0088271D" w14:textId="77777777" w:rsidR="006A60E4" w:rsidRDefault="00000000">
      <w:pPr>
        <w:pStyle w:val="Commarcadores"/>
        <w:spacing w:before="20" w:after="40"/>
      </w:pPr>
      <w:r>
        <w:rPr>
          <w:rFonts w:ascii="Calibri" w:hAnsi="Calibri"/>
          <w:b/>
          <w:color w:val="212529"/>
        </w:rPr>
        <w:t>Field Pilots &amp; Ground-Truth Hardware (US$ 180,000 / 30%)</w:t>
      </w:r>
      <w:r>
        <w:rPr>
          <w:rFonts w:ascii="Calibri" w:hAnsi="Calibri"/>
          <w:color w:val="212529"/>
        </w:rPr>
        <w:t>: Dual-frequency GNSS RTK receivers, telemetric rain gauges, Parshall flume sensors, DJI Matrice 350 RTK drone mobilization, field technician travel stipends across Sorriso (MT) and LEM (BA).</w:t>
      </w:r>
    </w:p>
    <w:p w14:paraId="025123E9" w14:textId="77777777" w:rsidR="006A60E4" w:rsidRDefault="00000000">
      <w:pPr>
        <w:pStyle w:val="Commarcadores"/>
        <w:spacing w:before="20" w:after="40"/>
      </w:pPr>
      <w:r>
        <w:rPr>
          <w:rFonts w:ascii="Calibri" w:hAnsi="Calibri"/>
          <w:b/>
          <w:color w:val="212529"/>
        </w:rPr>
        <w:t>IP Legal Prosecution &amp; Regulatory Compliance (US$ 90,000 / 15%)</w:t>
      </w:r>
      <w:r>
        <w:rPr>
          <w:rFonts w:ascii="Calibri" w:hAnsi="Calibri"/>
          <w:color w:val="212529"/>
        </w:rPr>
        <w:t>: Specialized Brazilian patent counsel (INPI priority drafting and Green Patent filings), WIPO PCT international filing fees, ICP-Brasil A3 cryptographic compliance licensing.</w:t>
      </w:r>
    </w:p>
    <w:p w14:paraId="7DDB40BD" w14:textId="77777777" w:rsidR="006A60E4" w:rsidRDefault="00000000">
      <w:pPr>
        <w:pStyle w:val="Commarcadores"/>
        <w:spacing w:before="20" w:after="40"/>
      </w:pPr>
      <w:r>
        <w:rPr>
          <w:rFonts w:ascii="Calibri" w:hAnsi="Calibri"/>
          <w:b/>
          <w:color w:val="212529"/>
        </w:rPr>
        <w:t>Enterprise BD &amp; Operational Working Capital (US$ 60,000 / 10%)</w:t>
      </w:r>
      <w:r>
        <w:rPr>
          <w:rFonts w:ascii="Calibri" w:hAnsi="Calibri"/>
          <w:color w:val="212529"/>
        </w:rPr>
        <w:t>: Institutional sales collateral, participation in Brazilian Ag-Fintech summits (Agrishow, World Agri-Tech South America), bank pilot integration sandboxes.</w:t>
      </w:r>
    </w:p>
    <w:p w14:paraId="5F4F869C" w14:textId="77777777" w:rsidR="006A60E4" w:rsidRDefault="006A60E4">
      <w:pPr>
        <w:pBdr>
          <w:bottom w:val="single" w:sz="8" w:space="1" w:color="D0D5DD"/>
        </w:pBdr>
        <w:spacing w:before="120" w:after="120"/>
      </w:pPr>
    </w:p>
    <w:p w14:paraId="08EBE837" w14:textId="77777777" w:rsidR="006A60E4" w:rsidRDefault="00000000">
      <w:pPr>
        <w:spacing w:before="240" w:after="60"/>
      </w:pPr>
      <w:r>
        <w:rPr>
          <w:rFonts w:ascii="Calibri" w:hAnsi="Calibri"/>
          <w:b/>
          <w:color w:val="1C6EA4"/>
          <w:sz w:val="32"/>
        </w:rPr>
        <w:t>7. Investment &amp; Financial Return on R&amp;D for SP Ventures</w:t>
      </w:r>
    </w:p>
    <w:p w14:paraId="5D383BC7" w14:textId="77777777" w:rsidR="006A60E4" w:rsidRDefault="00000000">
      <w:pPr>
        <w:spacing w:before="200" w:after="40"/>
      </w:pPr>
      <w:r>
        <w:rPr>
          <w:rFonts w:ascii="Calibri" w:hAnsi="Calibri"/>
          <w:b/>
          <w:color w:val="102C57"/>
          <w:sz w:val="26"/>
        </w:rPr>
        <w:t>7.1 Addressable Market &amp; Unit Economics</w:t>
      </w:r>
    </w:p>
    <w:p w14:paraId="515A2B2A" w14:textId="77777777" w:rsidR="006A60E4" w:rsidRDefault="00000000">
      <w:pPr>
        <w:spacing w:before="40" w:after="80"/>
      </w:pPr>
      <w:r>
        <w:rPr>
          <w:rFonts w:ascii="Calibri" w:hAnsi="Calibri"/>
          <w:color w:val="212529"/>
        </w:rPr>
        <w:t>The Brazilian rural credit market represents one of the largest and most lucrative ag-fintech opportunities globally:</w:t>
      </w:r>
    </w:p>
    <w:p w14:paraId="0B36DD5A" w14:textId="77777777" w:rsidR="006A60E4" w:rsidRDefault="00000000">
      <w:pPr>
        <w:pStyle w:val="Commarcadores"/>
        <w:spacing w:before="20" w:after="40"/>
      </w:pPr>
      <w:r>
        <w:rPr>
          <w:rFonts w:ascii="Calibri" w:hAnsi="Calibri"/>
          <w:b/>
          <w:color w:val="212529"/>
        </w:rPr>
        <w:t>Total Addressable Market (TAM)</w:t>
      </w:r>
      <w:r>
        <w:rPr>
          <w:rFonts w:ascii="Calibri" w:hAnsi="Calibri"/>
          <w:color w:val="212529"/>
        </w:rPr>
        <w:t>: R$ 400 Billion+ in annual SNCR disbursements across 5.8 million registered CAR properties.</w:t>
      </w:r>
    </w:p>
    <w:p w14:paraId="52D6792C" w14:textId="77777777" w:rsidR="006A60E4" w:rsidRDefault="00000000">
      <w:pPr>
        <w:pStyle w:val="Commarcadores"/>
        <w:spacing w:before="20" w:after="40"/>
      </w:pPr>
      <w:r>
        <w:rPr>
          <w:rFonts w:ascii="Calibri" w:hAnsi="Calibri"/>
          <w:b/>
          <w:color w:val="212529"/>
        </w:rPr>
        <w:lastRenderedPageBreak/>
        <w:t>Serviceable Addressable Market (SAM)</w:t>
      </w:r>
      <w:r>
        <w:rPr>
          <w:rFonts w:ascii="Calibri" w:hAnsi="Calibri"/>
          <w:color w:val="212529"/>
        </w:rPr>
        <w:t xml:space="preserve">: Properties exceeding </w:t>
      </w:r>
      <w:r>
        <w:rPr>
          <w:rFonts w:ascii="Calibri" w:hAnsi="Calibri"/>
          <w:b/>
          <w:color w:val="212529"/>
        </w:rPr>
        <w:t>300 hectares</w:t>
      </w:r>
      <w:r>
        <w:rPr>
          <w:rFonts w:ascii="Calibri" w:hAnsi="Calibri"/>
          <w:color w:val="212529"/>
        </w:rPr>
        <w:t xml:space="preserve"> subject to mandatory continuous remote sensing under CMN Resolução nº 5.267/2025: </w:t>
      </w:r>
      <w:r>
        <w:rPr>
          <w:rFonts w:ascii="Calibri" w:hAnsi="Calibri"/>
          <w:b/>
          <w:color w:val="212529"/>
        </w:rPr>
        <w:t>~92,000 commercial farms covering 74 million arable hectares</w:t>
      </w:r>
      <w:r>
        <w:rPr>
          <w:rFonts w:ascii="Calibri" w:hAnsi="Calibri"/>
          <w:color w:val="212529"/>
        </w:rPr>
        <w:t xml:space="preserve"> (representing $&gt;78\%$ of total Brazilian grain and sugarcane output).</w:t>
      </w:r>
    </w:p>
    <w:p w14:paraId="08F35EA9" w14:textId="77777777" w:rsidR="006A60E4" w:rsidRDefault="00000000">
      <w:pPr>
        <w:pStyle w:val="Commarcadores"/>
        <w:spacing w:before="20" w:after="40"/>
      </w:pPr>
      <w:r>
        <w:rPr>
          <w:rFonts w:ascii="Calibri" w:hAnsi="Calibri"/>
          <w:b/>
          <w:color w:val="212529"/>
        </w:rPr>
        <w:t>Serviceable Obtainable Market (SOM - Year 3)</w:t>
      </w:r>
      <w:r>
        <w:rPr>
          <w:rFonts w:ascii="Calibri" w:hAnsi="Calibri"/>
          <w:color w:val="212529"/>
        </w:rPr>
        <w:t>: 5.0 million hectares monitored across Tier-1 financial institutions (Banco do Brasil, Sicredi, Cresol), private credit Fiagros, and multinational barter desks (Cargill, Bunge).</w:t>
      </w:r>
    </w:p>
    <w:tbl>
      <w:tblPr>
        <w:tblW w:w="0" w:type="auto"/>
        <w:jc w:val="center"/>
        <w:tblLook w:val="04A0" w:firstRow="1" w:lastRow="0" w:firstColumn="1" w:lastColumn="0" w:noHBand="0" w:noVBand="1"/>
      </w:tblPr>
      <w:tblGrid>
        <w:gridCol w:w="9936"/>
      </w:tblGrid>
      <w:tr w:rsidR="006A60E4" w14:paraId="724BF975" w14:textId="77777777">
        <w:trPr>
          <w:jc w:val="center"/>
        </w:trPr>
        <w:tc>
          <w:tcPr>
            <w:tcW w:w="9936" w:type="dxa"/>
            <w:shd w:val="clear" w:color="auto" w:fill="F8F9FA"/>
            <w:tcMar>
              <w:top w:w="140" w:type="dxa"/>
              <w:left w:w="200" w:type="dxa"/>
              <w:bottom w:w="140" w:type="dxa"/>
              <w:right w:w="200" w:type="dxa"/>
            </w:tcMar>
          </w:tcPr>
          <w:p w14:paraId="7B832C6B" w14:textId="77777777" w:rsidR="006A60E4" w:rsidRDefault="00000000">
            <w:pPr>
              <w:spacing w:before="40" w:after="40"/>
            </w:pPr>
            <w:r>
              <w:rPr>
                <w:rFonts w:ascii="Consolas" w:hAnsi="Consolas"/>
                <w:color w:val="1E293B"/>
                <w:sz w:val="17"/>
              </w:rPr>
              <w:t>┌────────────────────────────────────────────────────────────────────────────────────────┐</w:t>
            </w:r>
            <w:r>
              <w:rPr>
                <w:rFonts w:ascii="Consolas" w:hAnsi="Consolas"/>
                <w:color w:val="1E293B"/>
                <w:sz w:val="17"/>
              </w:rPr>
              <w:br/>
              <w:t>│                        AGROSTECH UNIT ECONOMICS &amp; PRICING TIERS                        │</w:t>
            </w:r>
            <w:r>
              <w:rPr>
                <w:rFonts w:ascii="Consolas" w:hAnsi="Consolas"/>
                <w:color w:val="1E293B"/>
                <w:sz w:val="17"/>
              </w:rPr>
              <w:br/>
              <w:t>├───────────────────────────────┬───────────────────────────────┬────────────────────────┤</w:t>
            </w:r>
            <w:r>
              <w:rPr>
                <w:rFonts w:ascii="Consolas" w:hAnsi="Consolas"/>
                <w:color w:val="1E293B"/>
                <w:sz w:val="17"/>
              </w:rPr>
              <w:br/>
              <w:t>│ PRODUCT REVENUE STREAM        │ PRICING MODEL                 │ GROSS MARGIN (%)       │</w:t>
            </w:r>
            <w:r>
              <w:rPr>
                <w:rFonts w:ascii="Consolas" w:hAnsi="Consolas"/>
                <w:color w:val="1E293B"/>
                <w:sz w:val="17"/>
              </w:rPr>
              <w:br/>
              <w:t>├───────────────────────────────┼───────────────────────────────┼────────────────────────┤</w:t>
            </w:r>
            <w:r>
              <w:rPr>
                <w:rFonts w:ascii="Consolas" w:hAnsi="Consolas"/>
                <w:color w:val="1E293B"/>
                <w:sz w:val="17"/>
              </w:rPr>
              <w:br/>
              <w:t>│ 1. Continuous Monitoring SaaS │ R$ 3.50 to R$ 6.00 / ha / yr  │ 84.0%                  │</w:t>
            </w:r>
            <w:r>
              <w:rPr>
                <w:rFonts w:ascii="Consolas" w:hAnsi="Consolas"/>
                <w:color w:val="1E293B"/>
                <w:sz w:val="17"/>
              </w:rPr>
              <w:br/>
              <w:t>│    (Pillar 1 &amp; Orbital SAR)   │ (Annual recurring license)    │ (Cloud compute COGS)   │</w:t>
            </w:r>
            <w:r>
              <w:rPr>
                <w:rFonts w:ascii="Consolas" w:hAnsi="Consolas"/>
                <w:color w:val="1E293B"/>
                <w:sz w:val="17"/>
              </w:rPr>
              <w:br/>
              <w:t>├───────────────────────────────┼───────────────────────────────┼────────────────────────┤</w:t>
            </w:r>
            <w:r>
              <w:rPr>
                <w:rFonts w:ascii="Consolas" w:hAnsi="Consolas"/>
                <w:color w:val="1E293B"/>
                <w:sz w:val="17"/>
              </w:rPr>
              <w:br/>
              <w:t>│ 2. Automated MCR 2-9 Dossier  │ R$ 1,500.00 / credit dossier  │ 92.0%                  │</w:t>
            </w:r>
            <w:r>
              <w:rPr>
                <w:rFonts w:ascii="Consolas" w:hAnsi="Consolas"/>
                <w:color w:val="1E293B"/>
                <w:sz w:val="17"/>
              </w:rPr>
              <w:br/>
              <w:t>│    (Certified ICP-Brasil PDF) │ (Per financing contract)      │ (API &amp; signing COGS)   │</w:t>
            </w:r>
            <w:r>
              <w:rPr>
                <w:rFonts w:ascii="Consolas" w:hAnsi="Consolas"/>
                <w:color w:val="1E293B"/>
                <w:sz w:val="17"/>
              </w:rPr>
              <w:br/>
              <w:t>├───────────────────────────────┼───────────────────────────────┼────────────────────────┤</w:t>
            </w:r>
            <w:r>
              <w:rPr>
                <w:rFonts w:ascii="Consolas" w:hAnsi="Consolas"/>
                <w:color w:val="1E293B"/>
                <w:sz w:val="17"/>
              </w:rPr>
              <w:br/>
              <w:t>│ 3. VoI Drone Dispatch Service │ R$ 25.00 / ha + 15% platform  │ 35.0%                  │</w:t>
            </w:r>
            <w:r>
              <w:rPr>
                <w:rFonts w:ascii="Consolas" w:hAnsi="Consolas"/>
                <w:color w:val="1E293B"/>
                <w:sz w:val="17"/>
              </w:rPr>
              <w:br/>
              <w:t>│    (Pillar 2 Edge Scouting)   │ markup on mobilized flight    │ (Service crew pass-thru│</w:t>
            </w:r>
            <w:r>
              <w:rPr>
                <w:rFonts w:ascii="Consolas" w:hAnsi="Consolas"/>
                <w:color w:val="1E293B"/>
                <w:sz w:val="17"/>
              </w:rPr>
              <w:br/>
              <w:t>├───────────────────────────────┼───────────────────────────────┼────────────────────────┤</w:t>
            </w:r>
            <w:r>
              <w:rPr>
                <w:rFonts w:ascii="Consolas" w:hAnsi="Consolas"/>
                <w:color w:val="1E293B"/>
                <w:sz w:val="17"/>
              </w:rPr>
              <w:br/>
              <w:t>│ 4. Probabilistic Terracing    │ R$ 12.00 / ha (one-off audit) │ 78.0%                  │</w:t>
            </w:r>
            <w:r>
              <w:rPr>
                <w:rFonts w:ascii="Consolas" w:hAnsi="Consolas"/>
                <w:color w:val="1E293B"/>
                <w:sz w:val="17"/>
              </w:rPr>
              <w:br/>
              <w:t>│    Audit (Pillar 3 Hydrology) │ or R$ 1,800 / farm design     │ (Monte Carlo GPU COGS) │</w:t>
            </w:r>
            <w:r>
              <w:rPr>
                <w:rFonts w:ascii="Consolas" w:hAnsi="Consolas"/>
                <w:color w:val="1E293B"/>
                <w:sz w:val="17"/>
              </w:rPr>
              <w:br/>
              <w:t>└───────────────────────────────┴───────────────────────────────┴────────────────────────┘</w:t>
            </w:r>
          </w:p>
        </w:tc>
      </w:tr>
    </w:tbl>
    <w:p w14:paraId="67ADEF9E" w14:textId="77777777" w:rsidR="006A60E4" w:rsidRDefault="006A60E4">
      <w:pPr>
        <w:spacing w:after="80"/>
      </w:pPr>
    </w:p>
    <w:p w14:paraId="16CE72D1" w14:textId="77777777" w:rsidR="006A60E4" w:rsidRDefault="00000000">
      <w:pPr>
        <w:spacing w:before="200" w:after="40"/>
      </w:pPr>
      <w:r>
        <w:rPr>
          <w:rFonts w:ascii="Calibri" w:hAnsi="Calibri"/>
          <w:b/>
          <w:color w:val="102C57"/>
          <w:sz w:val="26"/>
        </w:rPr>
        <w:t>7.2 Customer Acquisition &amp; Unit Economics Metrics</w:t>
      </w:r>
    </w:p>
    <w:p w14:paraId="09177D6B" w14:textId="77777777" w:rsidR="006A60E4" w:rsidRDefault="00000000">
      <w:pPr>
        <w:pStyle w:val="Commarcadores"/>
        <w:spacing w:before="20" w:after="40"/>
      </w:pPr>
      <w:r>
        <w:rPr>
          <w:rFonts w:ascii="Calibri" w:hAnsi="Calibri"/>
          <w:b/>
          <w:color w:val="212529"/>
        </w:rPr>
        <w:t>Customer Acquisition Cost (CAC)</w:t>
      </w:r>
      <w:r>
        <w:rPr>
          <w:rFonts w:ascii="Calibri" w:hAnsi="Calibri"/>
          <w:color w:val="212529"/>
        </w:rPr>
        <w:t>: R$ 85,000 per institutional bank syndicate / barter desk regional branch.</w:t>
      </w:r>
    </w:p>
    <w:p w14:paraId="65331BE7" w14:textId="77777777" w:rsidR="006A60E4" w:rsidRDefault="00000000">
      <w:pPr>
        <w:pStyle w:val="Commarcadores"/>
        <w:spacing w:before="20" w:after="40"/>
      </w:pPr>
      <w:r>
        <w:rPr>
          <w:rFonts w:ascii="Calibri" w:hAnsi="Calibri"/>
          <w:b/>
          <w:color w:val="212529"/>
        </w:rPr>
        <w:t>Average Annual Contract Value (ACV)</w:t>
      </w:r>
      <w:r>
        <w:rPr>
          <w:rFonts w:ascii="Calibri" w:hAnsi="Calibri"/>
          <w:color w:val="212529"/>
        </w:rPr>
        <w:t>: R$ 480,000 (monitoring 100,000 ha portfolio @ R$ 4.00/ha + dossier fees).</w:t>
      </w:r>
    </w:p>
    <w:p w14:paraId="74C2694C" w14:textId="77777777" w:rsidR="006A60E4" w:rsidRDefault="00000000">
      <w:pPr>
        <w:pStyle w:val="Commarcadores"/>
        <w:spacing w:before="20" w:after="40"/>
      </w:pPr>
      <w:r>
        <w:rPr>
          <w:rFonts w:ascii="Calibri" w:hAnsi="Calibri"/>
          <w:b/>
          <w:color w:val="212529"/>
        </w:rPr>
        <w:t>Lifetime Value (LTV)</w:t>
      </w:r>
      <w:r>
        <w:rPr>
          <w:rFonts w:ascii="Calibri" w:hAnsi="Calibri"/>
          <w:color w:val="212529"/>
        </w:rPr>
        <w:t>: R$ 1,920,000 (assuming 4-year enterprise contract lifespan and 95% net revenue retention).</w:t>
      </w:r>
    </w:p>
    <w:p w14:paraId="614E7687" w14:textId="77777777" w:rsidR="006A60E4" w:rsidRDefault="00000000">
      <w:pPr>
        <w:pStyle w:val="Commarcadores"/>
        <w:spacing w:before="20" w:after="40"/>
      </w:pPr>
      <w:r>
        <w:rPr>
          <w:rFonts w:ascii="Calibri" w:hAnsi="Calibri"/>
          <w:b/>
          <w:color w:val="212529"/>
        </w:rPr>
        <w:t>LTV / CAC Ratio</w:t>
      </w:r>
      <w:r>
        <w:rPr>
          <w:rFonts w:ascii="Calibri" w:hAnsi="Calibri"/>
          <w:color w:val="212529"/>
        </w:rPr>
        <w:t xml:space="preserve">: </w:t>
      </w:r>
      <w:r>
        <w:rPr>
          <w:rFonts w:ascii="Calibri" w:hAnsi="Calibri"/>
          <w:b/>
          <w:color w:val="212529"/>
        </w:rPr>
        <w:t>22.6x</w:t>
      </w:r>
      <w:r>
        <w:rPr>
          <w:rFonts w:ascii="Calibri" w:hAnsi="Calibri"/>
          <w:color w:val="212529"/>
        </w:rPr>
        <w:t xml:space="preserve"> (highly attractive venture return profile).</w:t>
      </w:r>
    </w:p>
    <w:p w14:paraId="1A2604DE" w14:textId="77777777" w:rsidR="006A60E4" w:rsidRDefault="00000000">
      <w:pPr>
        <w:spacing w:before="200" w:after="40"/>
      </w:pPr>
      <w:r>
        <w:rPr>
          <w:rFonts w:ascii="Calibri" w:hAnsi="Calibri"/>
          <w:b/>
          <w:color w:val="102C57"/>
          <w:sz w:val="26"/>
        </w:rPr>
        <w:t>7.3 3-Year Pro Forma Financial Projections</w:t>
      </w:r>
    </w:p>
    <w:tbl>
      <w:tblPr>
        <w:tblW w:w="0" w:type="auto"/>
        <w:jc w:val="center"/>
        <w:tblLook w:val="04A0" w:firstRow="1" w:lastRow="0" w:firstColumn="1" w:lastColumn="0" w:noHBand="0" w:noVBand="1"/>
      </w:tblPr>
      <w:tblGrid>
        <w:gridCol w:w="9936"/>
      </w:tblGrid>
      <w:tr w:rsidR="006A60E4" w14:paraId="64926014" w14:textId="77777777">
        <w:trPr>
          <w:jc w:val="center"/>
        </w:trPr>
        <w:tc>
          <w:tcPr>
            <w:tcW w:w="9936" w:type="dxa"/>
            <w:shd w:val="clear" w:color="auto" w:fill="F8F9FA"/>
            <w:tcMar>
              <w:top w:w="140" w:type="dxa"/>
              <w:left w:w="200" w:type="dxa"/>
              <w:bottom w:w="140" w:type="dxa"/>
              <w:right w:w="200" w:type="dxa"/>
            </w:tcMar>
          </w:tcPr>
          <w:p w14:paraId="3F957ABC" w14:textId="77777777" w:rsidR="006A60E4" w:rsidRDefault="00000000">
            <w:pPr>
              <w:spacing w:before="40" w:after="40"/>
            </w:pPr>
            <w:r>
              <w:rPr>
                <w:rFonts w:ascii="Consolas" w:hAnsi="Consolas"/>
                <w:color w:val="1E293B"/>
                <w:sz w:val="17"/>
              </w:rPr>
              <w:t>┌────────────────────────────────────────────────────────────────────────────────────────┐</w:t>
            </w:r>
            <w:r>
              <w:rPr>
                <w:rFonts w:ascii="Consolas" w:hAnsi="Consolas"/>
                <w:color w:val="1E293B"/>
                <w:sz w:val="17"/>
              </w:rPr>
              <w:br/>
              <w:t>│                        3-YEAR FINANCIAL PROJECTIONS (BRL / R$)                         │</w:t>
            </w:r>
            <w:r>
              <w:rPr>
                <w:rFonts w:ascii="Consolas" w:hAnsi="Consolas"/>
                <w:color w:val="1E293B"/>
                <w:sz w:val="17"/>
              </w:rPr>
              <w:br/>
              <w:t>├───────────────────────────────────┬─────────────────┬─────────────────┬────────────────┤</w:t>
            </w:r>
            <w:r>
              <w:rPr>
                <w:rFonts w:ascii="Consolas" w:hAnsi="Consolas"/>
                <w:color w:val="1E293B"/>
                <w:sz w:val="17"/>
              </w:rPr>
              <w:br/>
              <w:t>│ METRIC                            │ YEAR 1 (FY27)   │ YEAR 2 (FY28)   │ YEAR 3 (FY29)  │</w:t>
            </w:r>
            <w:r>
              <w:rPr>
                <w:rFonts w:ascii="Consolas" w:hAnsi="Consolas"/>
                <w:color w:val="1E293B"/>
                <w:sz w:val="17"/>
              </w:rPr>
              <w:br/>
              <w:t>├───────────────────────────────────┼─────────────────┼─────────────────┼────────────────┤</w:t>
            </w:r>
            <w:r>
              <w:rPr>
                <w:rFonts w:ascii="Consolas" w:hAnsi="Consolas"/>
                <w:color w:val="1E293B"/>
                <w:sz w:val="17"/>
              </w:rPr>
              <w:br/>
              <w:t>│ Arable Hectares Monitored (ha)    │ 400,000 ha      │ 1,800,000 ha    │ 5,200,000 ha   │</w:t>
            </w:r>
            <w:r>
              <w:rPr>
                <w:rFonts w:ascii="Consolas" w:hAnsi="Consolas"/>
                <w:color w:val="1E293B"/>
                <w:sz w:val="17"/>
              </w:rPr>
              <w:br/>
              <w:t>│ Active Enterprise Lenders / Desks │ 4 entities      │ 14 entities     │ 32 entities    │</w:t>
            </w:r>
            <w:r>
              <w:rPr>
                <w:rFonts w:ascii="Consolas" w:hAnsi="Consolas"/>
                <w:color w:val="1E293B"/>
                <w:sz w:val="17"/>
              </w:rPr>
              <w:br/>
              <w:t>│ Annual Recurring Revenue (ARR)    │ R$ 1,600,000    │ R$ 7,200,000    │ R$ 20,800,000  │</w:t>
            </w:r>
            <w:r>
              <w:rPr>
                <w:rFonts w:ascii="Consolas" w:hAnsi="Consolas"/>
                <w:color w:val="1E293B"/>
                <w:sz w:val="17"/>
              </w:rPr>
              <w:br/>
              <w:t>│ Dossier &amp; Professional Services   │ R$ 450,000      │ R$ 1,850,000    │ R$ 4,600,000   │</w:t>
            </w:r>
            <w:r>
              <w:rPr>
                <w:rFonts w:ascii="Consolas" w:hAnsi="Consolas"/>
                <w:color w:val="1E293B"/>
                <w:sz w:val="17"/>
              </w:rPr>
              <w:br/>
              <w:t>│ Total Gross Revenue               │ R$ 2,050,000    │ R$ 9,050,000    │ R$ 25,400,000  │</w:t>
            </w:r>
            <w:r>
              <w:rPr>
                <w:rFonts w:ascii="Consolas" w:hAnsi="Consolas"/>
                <w:color w:val="1E293B"/>
                <w:sz w:val="17"/>
              </w:rPr>
              <w:br/>
              <w:t>│ Gross Margin (%)                  │ 76.5%           │ 81.2%           │ 84.8%          │</w:t>
            </w:r>
            <w:r>
              <w:rPr>
                <w:rFonts w:ascii="Consolas" w:hAnsi="Consolas"/>
                <w:color w:val="1E293B"/>
                <w:sz w:val="17"/>
              </w:rPr>
              <w:br/>
              <w:t>│ EBITDA Margin (%)                 │ -18.0%          │ +24.5%          │ +38.2%         │</w:t>
            </w:r>
            <w:r>
              <w:rPr>
                <w:rFonts w:ascii="Consolas" w:hAnsi="Consolas"/>
                <w:color w:val="1E293B"/>
                <w:sz w:val="17"/>
              </w:rPr>
              <w:br/>
              <w:t>└───────────────────────────────────┴─────────────────┴─────────────────┴────────────────┘</w:t>
            </w:r>
          </w:p>
        </w:tc>
      </w:tr>
    </w:tbl>
    <w:p w14:paraId="5E7CBAAD" w14:textId="77777777" w:rsidR="006A60E4" w:rsidRDefault="006A60E4">
      <w:pPr>
        <w:spacing w:after="80"/>
      </w:pPr>
    </w:p>
    <w:p w14:paraId="72126FC3" w14:textId="77777777" w:rsidR="006A60E4" w:rsidRDefault="00000000">
      <w:pPr>
        <w:spacing w:before="200" w:after="40"/>
      </w:pPr>
      <w:r>
        <w:rPr>
          <w:rFonts w:ascii="Calibri" w:hAnsi="Calibri"/>
          <w:b/>
          <w:color w:val="102C57"/>
          <w:sz w:val="26"/>
        </w:rPr>
        <w:lastRenderedPageBreak/>
        <w:t>7.4 Valuation Justification &amp; Exit Horizon</w:t>
      </w:r>
    </w:p>
    <w:p w14:paraId="485681C7" w14:textId="77777777" w:rsidR="006A60E4" w:rsidRDefault="00000000">
      <w:pPr>
        <w:spacing w:before="40" w:after="80"/>
      </w:pPr>
      <w:r>
        <w:rPr>
          <w:rFonts w:ascii="Calibri" w:hAnsi="Calibri"/>
          <w:color w:val="212529"/>
        </w:rPr>
        <w:t xml:space="preserve">At a </w:t>
      </w:r>
      <w:r>
        <w:rPr>
          <w:rFonts w:ascii="Calibri" w:hAnsi="Calibri"/>
          <w:b/>
          <w:color w:val="212529"/>
        </w:rPr>
        <w:t>US$ 4,000,000 post-money valuation cap (approx. R$ 22.0M BRL)</w:t>
      </w:r>
      <w:r>
        <w:rPr>
          <w:rFonts w:ascii="Calibri" w:hAnsi="Calibri"/>
          <w:color w:val="212529"/>
        </w:rPr>
        <w:t xml:space="preserve">, SP Ventures secures an entry valuation of approximately </w:t>
      </w:r>
      <w:r>
        <w:rPr>
          <w:rFonts w:ascii="Calibri" w:hAnsi="Calibri"/>
          <w:b/>
          <w:color w:val="212529"/>
        </w:rPr>
        <w:t>10.7x Year 1 ARR</w:t>
      </w:r>
      <w:r>
        <w:rPr>
          <w:rFonts w:ascii="Calibri" w:hAnsi="Calibri"/>
          <w:color w:val="212529"/>
        </w:rPr>
        <w:t xml:space="preserve">, compressing to </w:t>
      </w:r>
      <w:r>
        <w:rPr>
          <w:rFonts w:ascii="Calibri" w:hAnsi="Calibri"/>
          <w:b/>
          <w:color w:val="212529"/>
        </w:rPr>
        <w:t>2.4x Year 2 ARR</w:t>
      </w:r>
      <w:r>
        <w:rPr>
          <w:rFonts w:ascii="Calibri" w:hAnsi="Calibri"/>
          <w:color w:val="212529"/>
        </w:rPr>
        <w:t xml:space="preserve"> and </w:t>
      </w:r>
      <w:r>
        <w:rPr>
          <w:rFonts w:ascii="Calibri" w:hAnsi="Calibri"/>
          <w:b/>
          <w:color w:val="212529"/>
        </w:rPr>
        <w:t>0.86x Year 3 ARR</w:t>
      </w:r>
      <w:r>
        <w:rPr>
          <w:rFonts w:ascii="Calibri" w:hAnsi="Calibri"/>
          <w:color w:val="212529"/>
        </w:rPr>
        <w:t>.</w:t>
      </w:r>
    </w:p>
    <w:p w14:paraId="39BD8589" w14:textId="77777777" w:rsidR="006A60E4" w:rsidRDefault="00000000">
      <w:pPr>
        <w:spacing w:before="40" w:after="80"/>
      </w:pPr>
      <w:r>
        <w:rPr>
          <w:rFonts w:ascii="Calibri" w:hAnsi="Calibri"/>
          <w:color w:val="212529"/>
        </w:rPr>
        <w:t xml:space="preserve">Comparable agtech compliance and geospatial intelligence exits (e.g. Climate Corp / Monsanto at US$ 930M, Granular / Corteva at US$ 300M, Solinftec, Agrosmart) demonstrate acquisition multiples of </w:t>
      </w:r>
      <w:r>
        <w:rPr>
          <w:rFonts w:ascii="Calibri" w:hAnsi="Calibri"/>
          <w:b/>
          <w:color w:val="212529"/>
        </w:rPr>
        <w:t>8x to 15x ARR</w:t>
      </w:r>
      <w:r>
        <w:rPr>
          <w:rFonts w:ascii="Calibri" w:hAnsi="Calibri"/>
          <w:color w:val="212529"/>
        </w:rPr>
        <w:t xml:space="preserve"> by global commodity traders, enterprise ERP providers (SAP, Totvs), and rural credit rating agencies (Serasa Experian). Agrostech provides SP Ventures with a clear, de-risked pathway to a </w:t>
      </w:r>
      <w:r>
        <w:rPr>
          <w:rFonts w:ascii="Calibri" w:hAnsi="Calibri"/>
          <w:b/>
          <w:color w:val="212529"/>
        </w:rPr>
        <w:t>10x to 25x return on invested capital within 36 to 48 months</w:t>
      </w:r>
      <w:r>
        <w:rPr>
          <w:rFonts w:ascii="Calibri" w:hAnsi="Calibri"/>
          <w:color w:val="212529"/>
        </w:rPr>
        <w:t>.</w:t>
      </w:r>
    </w:p>
    <w:p w14:paraId="36B8B53B" w14:textId="77777777" w:rsidR="006A60E4" w:rsidRDefault="006A60E4">
      <w:pPr>
        <w:pBdr>
          <w:bottom w:val="single" w:sz="8" w:space="1" w:color="D0D5DD"/>
        </w:pBdr>
        <w:spacing w:before="120" w:after="120"/>
      </w:pPr>
    </w:p>
    <w:p w14:paraId="670D77D1" w14:textId="77777777" w:rsidR="006A60E4" w:rsidRDefault="00000000">
      <w:pPr>
        <w:spacing w:before="240" w:after="60"/>
      </w:pPr>
      <w:r>
        <w:rPr>
          <w:rFonts w:ascii="Calibri" w:hAnsi="Calibri"/>
          <w:b/>
          <w:color w:val="1C6EA4"/>
          <w:sz w:val="32"/>
        </w:rPr>
        <w:t>8. Conclusion &amp; Sign-Off</w:t>
      </w:r>
    </w:p>
    <w:p w14:paraId="0ABA6F89" w14:textId="77777777" w:rsidR="006A60E4" w:rsidRDefault="00000000">
      <w:pPr>
        <w:spacing w:before="40" w:after="80"/>
      </w:pPr>
      <w:r>
        <w:rPr>
          <w:rFonts w:ascii="Calibri" w:hAnsi="Calibri"/>
          <w:color w:val="212529"/>
        </w:rPr>
        <w:t>Agrostech’s technical whitepaper establishes that our three R&amp;D candidates—</w:t>
      </w:r>
      <w:r>
        <w:rPr>
          <w:rFonts w:ascii="Calibri" w:hAnsi="Calibri"/>
          <w:b/>
          <w:color w:val="212529"/>
        </w:rPr>
        <w:t>Área Contínua Multi-Feature Synchrony Fusion</w:t>
      </w:r>
      <w:r>
        <w:rPr>
          <w:rFonts w:ascii="Calibri" w:hAnsi="Calibri"/>
          <w:color w:val="212529"/>
        </w:rPr>
        <w:t xml:space="preserve">, </w:t>
      </w:r>
      <w:r>
        <w:rPr>
          <w:rFonts w:ascii="Calibri" w:hAnsi="Calibri"/>
          <w:b/>
          <w:color w:val="212529"/>
        </w:rPr>
        <w:t>Decision-Theoretic VoI UAV Dispatch</w:t>
      </w:r>
      <w:r>
        <w:rPr>
          <w:rFonts w:ascii="Calibri" w:hAnsi="Calibri"/>
          <w:color w:val="212529"/>
        </w:rPr>
        <w:t xml:space="preserve">, and </w:t>
      </w:r>
      <w:r>
        <w:rPr>
          <w:rFonts w:ascii="Calibri" w:hAnsi="Calibri"/>
          <w:b/>
          <w:color w:val="212529"/>
        </w:rPr>
        <w:t>Uncertainty-Aware Probabilistic Hydrology</w:t>
      </w:r>
      <w:r>
        <w:rPr>
          <w:rFonts w:ascii="Calibri" w:hAnsi="Calibri"/>
          <w:color w:val="212529"/>
        </w:rPr>
        <w:t xml:space="preserve">—are mathematically sound, physically grounded, legally defensible, and directly aligned with the mandatory compliance mandates of </w:t>
      </w:r>
      <w:r>
        <w:rPr>
          <w:rFonts w:ascii="Calibri" w:hAnsi="Calibri"/>
          <w:b/>
          <w:color w:val="212529"/>
        </w:rPr>
        <w:t>Central Bank Resolução CMN nº 5.267/2025</w:t>
      </w:r>
      <w:r>
        <w:rPr>
          <w:rFonts w:ascii="Calibri" w:hAnsi="Calibri"/>
          <w:color w:val="212529"/>
        </w:rPr>
        <w:t>.</w:t>
      </w:r>
    </w:p>
    <w:p w14:paraId="2D558FBF" w14:textId="77777777" w:rsidR="006A60E4" w:rsidRDefault="00000000">
      <w:pPr>
        <w:spacing w:before="40" w:after="80"/>
      </w:pPr>
      <w:r>
        <w:rPr>
          <w:rFonts w:ascii="Calibri" w:hAnsi="Calibri"/>
          <w:color w:val="212529"/>
        </w:rPr>
        <w:t>By eliminating cadastral blind spots, turning drone flights into positive-ROI financial triggers, and solving photogrammetric elevation error propagation, Agrostech establishes an institutional enterprise moat for venture capital backing and commercial bank deployment.</w:t>
      </w:r>
    </w:p>
    <w:p w14:paraId="467855F9" w14:textId="77777777" w:rsidR="006A60E4" w:rsidRDefault="006A60E4">
      <w:pPr>
        <w:pBdr>
          <w:bottom w:val="single" w:sz="8" w:space="1" w:color="D0D5DD"/>
        </w:pBdr>
        <w:spacing w:before="120" w:after="120"/>
      </w:pPr>
    </w:p>
    <w:p w14:paraId="11870528" w14:textId="77777777" w:rsidR="006A60E4" w:rsidRDefault="00000000">
      <w:pPr>
        <w:spacing w:before="40" w:after="80"/>
      </w:pPr>
      <w:r>
        <w:rPr>
          <w:rFonts w:ascii="Calibri" w:hAnsi="Calibri"/>
          <w:b/>
          <w:color w:val="212529"/>
        </w:rPr>
        <w:t>Signed and Certified by</w:t>
      </w:r>
      <w:r>
        <w:rPr>
          <w:rFonts w:ascii="Calibri" w:hAnsi="Calibri"/>
          <w:color w:val="212529"/>
        </w:rPr>
        <w:t>:</w:t>
      </w:r>
    </w:p>
    <w:p w14:paraId="03DD7EE4" w14:textId="77777777" w:rsidR="006A60E4" w:rsidRDefault="00000000">
      <w:pPr>
        <w:spacing w:before="40" w:after="80"/>
      </w:pPr>
      <w:r>
        <w:rPr>
          <w:rFonts w:ascii="Calibri" w:hAnsi="Calibri"/>
          <w:i/>
          <w:color w:val="212529"/>
        </w:rPr>
        <w:t>Agrostech Core Technical R&amp;D Group</w:t>
      </w:r>
    </w:p>
    <w:p w14:paraId="63599C82" w14:textId="77777777" w:rsidR="006A60E4" w:rsidRDefault="00000000">
      <w:pPr>
        <w:spacing w:before="40" w:after="80"/>
      </w:pPr>
      <w:r>
        <w:rPr>
          <w:rFonts w:ascii="Calibri" w:hAnsi="Calibri"/>
          <w:i/>
          <w:color w:val="212529"/>
        </w:rPr>
        <w:t>Lead Author: worker_dossier</w:t>
      </w:r>
    </w:p>
    <w:p w14:paraId="7FD62374" w14:textId="77777777" w:rsidR="006A60E4" w:rsidRDefault="00000000">
      <w:pPr>
        <w:spacing w:before="40" w:after="80"/>
      </w:pPr>
      <w:r>
        <w:rPr>
          <w:rFonts w:ascii="Calibri" w:hAnsi="Calibri"/>
          <w:i/>
          <w:color w:val="212529"/>
        </w:rPr>
        <w:t>Milestone 3 Complete // Ready for SP Ventures Technical Due Diligence</w:t>
      </w:r>
    </w:p>
    <w:p w14:paraId="551B1F7C" w14:textId="77777777" w:rsidR="006A60E4" w:rsidRDefault="00000000">
      <w:r>
        <w:br w:type="page"/>
      </w:r>
    </w:p>
    <w:p w14:paraId="0C93CC1D" w14:textId="77777777" w:rsidR="006A60E4" w:rsidRDefault="00000000">
      <w:pPr>
        <w:spacing w:before="320" w:after="120"/>
      </w:pPr>
      <w:r>
        <w:rPr>
          <w:rFonts w:ascii="Calibri" w:hAnsi="Calibri"/>
          <w:b/>
          <w:color w:val="102C57"/>
          <w:sz w:val="36"/>
        </w:rPr>
        <w:lastRenderedPageBreak/>
        <w:t>Appendix: Empirical Benchmark Visual Exhibits &amp; VC Dashboard</w:t>
      </w:r>
    </w:p>
    <w:p w14:paraId="1D0A35E0" w14:textId="77777777" w:rsidR="006A60E4" w:rsidRDefault="00000000">
      <w:pPr>
        <w:spacing w:before="240" w:after="80"/>
      </w:pPr>
      <w:r>
        <w:rPr>
          <w:rFonts w:ascii="Calibri" w:hAnsi="Calibri"/>
          <w:b/>
          <w:color w:val="1C6EA4"/>
          <w:sz w:val="24"/>
        </w:rPr>
        <w:t>Figure 1: Unified Multi-Panel Due Diligence Dashboard (All 3 Candidates)</w:t>
      </w:r>
    </w:p>
    <w:p w14:paraId="2BC194D7" w14:textId="77777777" w:rsidR="006A60E4" w:rsidRDefault="00000000">
      <w:pPr>
        <w:spacing w:before="40"/>
        <w:jc w:val="center"/>
      </w:pPr>
      <w:r>
        <w:rPr>
          <w:noProof/>
        </w:rPr>
        <w:drawing>
          <wp:inline distT="0" distB="0" distL="0" distR="0" wp14:anchorId="12A6D0AC" wp14:editId="24A02430">
            <wp:extent cx="621792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summary_dashboard.png"/>
                    <pic:cNvPicPr/>
                  </pic:nvPicPr>
                  <pic:blipFill>
                    <a:blip r:embed="rId8"/>
                    <a:stretch>
                      <a:fillRect/>
                    </a:stretch>
                  </pic:blipFill>
                  <pic:spPr>
                    <a:xfrm>
                      <a:off x="0" y="0"/>
                      <a:ext cx="6217920" cy="4663440"/>
                    </a:xfrm>
                    <a:prstGeom prst="rect">
                      <a:avLst/>
                    </a:prstGeom>
                  </pic:spPr>
                </pic:pic>
              </a:graphicData>
            </a:graphic>
          </wp:inline>
        </w:drawing>
      </w:r>
    </w:p>
    <w:p w14:paraId="3C77B401" w14:textId="77777777" w:rsidR="006A60E4" w:rsidRDefault="00000000">
      <w:pPr>
        <w:spacing w:before="240" w:after="80"/>
      </w:pPr>
      <w:r>
        <w:rPr>
          <w:rFonts w:ascii="Calibri" w:hAnsi="Calibri"/>
          <w:b/>
          <w:color w:val="1C6EA4"/>
          <w:sz w:val="24"/>
        </w:rPr>
        <w:t>Figure 2: Candidate 1 — Área Contínua Multi-Feature Synchrony &amp; ROC Curves</w:t>
      </w:r>
    </w:p>
    <w:p w14:paraId="5741512B" w14:textId="77777777" w:rsidR="006A60E4" w:rsidRDefault="00000000">
      <w:pPr>
        <w:spacing w:before="40"/>
        <w:jc w:val="center"/>
      </w:pPr>
      <w:r>
        <w:rPr>
          <w:noProof/>
        </w:rPr>
        <w:lastRenderedPageBreak/>
        <w:drawing>
          <wp:inline distT="0" distB="0" distL="0" distR="0" wp14:anchorId="2E9906C7" wp14:editId="3FA5C2C1">
            <wp:extent cx="6217920" cy="4885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area_continua.png"/>
                    <pic:cNvPicPr/>
                  </pic:nvPicPr>
                  <pic:blipFill>
                    <a:blip r:embed="rId9"/>
                    <a:stretch>
                      <a:fillRect/>
                    </a:stretch>
                  </pic:blipFill>
                  <pic:spPr>
                    <a:xfrm>
                      <a:off x="0" y="0"/>
                      <a:ext cx="6217920" cy="4885509"/>
                    </a:xfrm>
                    <a:prstGeom prst="rect">
                      <a:avLst/>
                    </a:prstGeom>
                  </pic:spPr>
                </pic:pic>
              </a:graphicData>
            </a:graphic>
          </wp:inline>
        </w:drawing>
      </w:r>
    </w:p>
    <w:p w14:paraId="7FD3D168" w14:textId="77777777" w:rsidR="006A60E4" w:rsidRDefault="00000000">
      <w:pPr>
        <w:spacing w:before="240" w:after="80"/>
      </w:pPr>
      <w:r>
        <w:rPr>
          <w:rFonts w:ascii="Calibri" w:hAnsi="Calibri"/>
          <w:b/>
          <w:color w:val="1C6EA4"/>
          <w:sz w:val="24"/>
        </w:rPr>
        <w:t>Figure 3: Candidate 2 — Value-of-Information (VoI) Drone Dispatch &amp; Economic Payoff</w:t>
      </w:r>
    </w:p>
    <w:p w14:paraId="7C158D78" w14:textId="77777777" w:rsidR="006A60E4" w:rsidRDefault="00000000">
      <w:pPr>
        <w:spacing w:before="40"/>
        <w:jc w:val="center"/>
      </w:pPr>
      <w:r>
        <w:rPr>
          <w:noProof/>
        </w:rPr>
        <w:lastRenderedPageBreak/>
        <w:drawing>
          <wp:inline distT="0" distB="0" distL="0" distR="0" wp14:anchorId="552D445F" wp14:editId="44A4DDAF">
            <wp:extent cx="6217920" cy="4885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voi_drone.png"/>
                    <pic:cNvPicPr/>
                  </pic:nvPicPr>
                  <pic:blipFill>
                    <a:blip r:embed="rId10"/>
                    <a:stretch>
                      <a:fillRect/>
                    </a:stretch>
                  </pic:blipFill>
                  <pic:spPr>
                    <a:xfrm>
                      <a:off x="0" y="0"/>
                      <a:ext cx="6217920" cy="4885509"/>
                    </a:xfrm>
                    <a:prstGeom prst="rect">
                      <a:avLst/>
                    </a:prstGeom>
                  </pic:spPr>
                </pic:pic>
              </a:graphicData>
            </a:graphic>
          </wp:inline>
        </w:drawing>
      </w:r>
    </w:p>
    <w:p w14:paraId="61E13D30" w14:textId="77777777" w:rsidR="006A60E4" w:rsidRDefault="00000000">
      <w:pPr>
        <w:spacing w:before="240" w:after="80"/>
      </w:pPr>
      <w:r>
        <w:rPr>
          <w:rFonts w:ascii="Calibri" w:hAnsi="Calibri"/>
          <w:b/>
          <w:color w:val="1C6EA4"/>
          <w:sz w:val="24"/>
        </w:rPr>
        <w:t>Figure 4: Candidate 3 — Uncertainty-Aware SCS-CN Monte Carlo &amp; Terrace Breach Risk</w:t>
      </w:r>
    </w:p>
    <w:p w14:paraId="18F53960" w14:textId="77777777" w:rsidR="006A60E4" w:rsidRDefault="00000000">
      <w:pPr>
        <w:spacing w:before="40"/>
        <w:jc w:val="center"/>
      </w:pPr>
      <w:r>
        <w:rPr>
          <w:noProof/>
        </w:rPr>
        <w:lastRenderedPageBreak/>
        <w:drawing>
          <wp:inline distT="0" distB="0" distL="0" distR="0" wp14:anchorId="03D94F01" wp14:editId="42B89754">
            <wp:extent cx="6217920" cy="48855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runoff_erosion.png"/>
                    <pic:cNvPicPr/>
                  </pic:nvPicPr>
                  <pic:blipFill>
                    <a:blip r:embed="rId11"/>
                    <a:stretch>
                      <a:fillRect/>
                    </a:stretch>
                  </pic:blipFill>
                  <pic:spPr>
                    <a:xfrm>
                      <a:off x="0" y="0"/>
                      <a:ext cx="6217920" cy="4885509"/>
                    </a:xfrm>
                    <a:prstGeom prst="rect">
                      <a:avLst/>
                    </a:prstGeom>
                  </pic:spPr>
                </pic:pic>
              </a:graphicData>
            </a:graphic>
          </wp:inline>
        </w:drawing>
      </w:r>
    </w:p>
    <w:sectPr w:rsidR="006A60E4"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F0BC8" w14:textId="77777777" w:rsidR="005D5721" w:rsidRDefault="005D5721" w:rsidP="00DB41A8">
      <w:pPr>
        <w:spacing w:after="0" w:line="240" w:lineRule="auto"/>
      </w:pPr>
      <w:r>
        <w:separator/>
      </w:r>
    </w:p>
  </w:endnote>
  <w:endnote w:type="continuationSeparator" w:id="0">
    <w:p w14:paraId="6832762E" w14:textId="77777777" w:rsidR="005D5721" w:rsidRDefault="005D5721" w:rsidP="00DB4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6AB6" w14:textId="77777777" w:rsidR="005D5721" w:rsidRDefault="005D5721" w:rsidP="00DB41A8">
      <w:pPr>
        <w:spacing w:after="0" w:line="240" w:lineRule="auto"/>
      </w:pPr>
      <w:r>
        <w:separator/>
      </w:r>
    </w:p>
  </w:footnote>
  <w:footnote w:type="continuationSeparator" w:id="0">
    <w:p w14:paraId="3C2C1C7F" w14:textId="77777777" w:rsidR="005D5721" w:rsidRDefault="005D5721" w:rsidP="00DB4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01927331">
    <w:abstractNumId w:val="8"/>
  </w:num>
  <w:num w:numId="2" w16cid:durableId="971983607">
    <w:abstractNumId w:val="6"/>
  </w:num>
  <w:num w:numId="3" w16cid:durableId="1699814091">
    <w:abstractNumId w:val="5"/>
  </w:num>
  <w:num w:numId="4" w16cid:durableId="904338908">
    <w:abstractNumId w:val="4"/>
  </w:num>
  <w:num w:numId="5" w16cid:durableId="1478182371">
    <w:abstractNumId w:val="7"/>
  </w:num>
  <w:num w:numId="6" w16cid:durableId="2092386576">
    <w:abstractNumId w:val="3"/>
  </w:num>
  <w:num w:numId="7" w16cid:durableId="2057581937">
    <w:abstractNumId w:val="2"/>
  </w:num>
  <w:num w:numId="8" w16cid:durableId="95905145">
    <w:abstractNumId w:val="1"/>
  </w:num>
  <w:num w:numId="9" w16cid:durableId="172078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F0F"/>
    <w:rsid w:val="005D5721"/>
    <w:rsid w:val="006A60E4"/>
    <w:rsid w:val="007922DC"/>
    <w:rsid w:val="00AA1D8D"/>
    <w:rsid w:val="00B47730"/>
    <w:rsid w:val="00CB0664"/>
    <w:rsid w:val="00DB4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F92E3"/>
  <w14:defaultImageDpi w14:val="300"/>
  <w15:docId w15:val="{A596530E-7BD1-464D-8994-9A4FD62A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7139</Words>
  <Characters>38555</Characters>
  <Application>Microsoft Office Word</Application>
  <DocSecurity>0</DocSecurity>
  <Lines>321</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Amgad Salih</cp:lastModifiedBy>
  <cp:revision>2</cp:revision>
  <dcterms:created xsi:type="dcterms:W3CDTF">2013-12-23T23:15:00Z</dcterms:created>
  <dcterms:modified xsi:type="dcterms:W3CDTF">2026-10-02T23:56:00Z</dcterms:modified>
  <cp:category/>
</cp:coreProperties>
</file>