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02C57"/>
          <w:sz w:val="44"/>
        </w:rPr>
        <w:t>Prior-Art Landscaping, Freedom-to-Operate (FTO) &amp; Patent Clearance Report</w:t>
      </w:r>
    </w:p>
    <w:p>
      <w:pPr>
        <w:spacing w:before="40" w:after="80"/>
      </w:pPr>
      <w:r>
        <w:rPr>
          <w:rFonts w:ascii="Calibri" w:hAnsi="Calibri"/>
          <w:b/>
          <w:color w:val="212529"/>
          <w:sz w:val="22"/>
        </w:rPr>
        <w:t>Document ID</w:t>
      </w:r>
      <w:r>
        <w:rPr>
          <w:rFonts w:ascii="Calibri" w:hAnsi="Calibri"/>
          <w:color w:val="212529"/>
          <w:sz w:val="22"/>
        </w:rPr>
        <w:t>: AGRO-RD-2026-FTO-001</w:t>
      </w:r>
    </w:p>
    <w:p>
      <w:pPr>
        <w:spacing w:before="40" w:after="80"/>
      </w:pPr>
      <w:r>
        <w:rPr>
          <w:rFonts w:ascii="Calibri" w:hAnsi="Calibri"/>
          <w:b/>
          <w:color w:val="212529"/>
          <w:sz w:val="22"/>
        </w:rPr>
        <w:t>Project</w:t>
      </w:r>
      <w:r>
        <w:rPr>
          <w:rFonts w:ascii="Calibri" w:hAnsi="Calibri"/>
          <w:color w:val="212529"/>
          <w:sz w:val="22"/>
        </w:rPr>
        <w:t>: Agrostech Institutional SaaS MVP &amp; Defensible Novel R&amp;D</w:t>
      </w:r>
    </w:p>
    <w:p>
      <w:pPr>
        <w:spacing w:before="40" w:after="80"/>
      </w:pPr>
      <w:r>
        <w:rPr>
          <w:rFonts w:ascii="Calibri" w:hAnsi="Calibri"/>
          <w:b/>
          <w:color w:val="212529"/>
          <w:sz w:val="22"/>
        </w:rPr>
        <w:t>Classification</w:t>
      </w:r>
      <w:r>
        <w:rPr>
          <w:rFonts w:ascii="Calibri" w:hAnsi="Calibri"/>
          <w:color w:val="212529"/>
          <w:sz w:val="22"/>
        </w:rPr>
        <w:t>: Proprietary &amp; Confidential // Technical Due Diligence Dossier</w:t>
      </w:r>
    </w:p>
    <w:p>
      <w:pPr>
        <w:spacing w:before="40" w:after="80"/>
      </w:pPr>
      <w:r>
        <w:rPr>
          <w:rFonts w:ascii="Calibri" w:hAnsi="Calibri"/>
          <w:b/>
          <w:color w:val="212529"/>
          <w:sz w:val="22"/>
        </w:rPr>
        <w:t>Target Entities</w:t>
      </w:r>
      <w:r>
        <w:rPr>
          <w:rFonts w:ascii="Calibri" w:hAnsi="Calibri"/>
          <w:color w:val="212529"/>
          <w:sz w:val="22"/>
        </w:rPr>
        <w:t>: SP Ventures, Rural Credit Financial Institutions (Banco do Brasil, Sicredi, Cresol), Ag-Barter Desks, and INPI Patent Examiners</w:t>
      </w:r>
    </w:p>
    <w:p>
      <w:pPr>
        <w:spacing w:before="40" w:after="80"/>
      </w:pPr>
      <w:r>
        <w:rPr>
          <w:rFonts w:ascii="Calibri" w:hAnsi="Calibri"/>
          <w:b/>
          <w:color w:val="212529"/>
          <w:sz w:val="22"/>
        </w:rPr>
        <w:t>Date of Issuance</w:t>
      </w:r>
      <w:r>
        <w:rPr>
          <w:rFonts w:ascii="Calibri" w:hAnsi="Calibri"/>
          <w:color w:val="212529"/>
          <w:sz w:val="22"/>
        </w:rPr>
        <w:t>: 2026-10-01</w:t>
      </w:r>
    </w:p>
    <w:p>
      <w:pPr>
        <w:spacing w:before="40" w:after="80"/>
      </w:pPr>
      <w:r>
        <w:rPr>
          <w:rFonts w:ascii="Calibri" w:hAnsi="Calibri"/>
          <w:b/>
          <w:color w:val="212529"/>
          <w:sz w:val="22"/>
        </w:rPr>
        <w:t>Jurisdiction</w:t>
      </w:r>
      <w:r>
        <w:rPr>
          <w:rFonts w:ascii="Calibri" w:hAnsi="Calibri"/>
          <w:color w:val="212529"/>
          <w:sz w:val="22"/>
        </w:rPr>
        <w:t>: Federative Republic of Brazil (INPI / BCB / MAPA) &amp; International PCT Jurisdictions (USPTO, EPO, INPI AR)</w:t>
      </w:r>
    </w:p>
    <w:p>
      <w:pPr>
        <w:spacing w:before="120" w:after="120"/>
        <w:pBdr>
          <w:bottom w:val="single" w:sz="8" w:space="1" w:color="D0D5DD"/>
        </w:pBdr>
      </w:pPr>
    </w:p>
    <w:p>
      <w:pPr>
        <w:spacing w:before="240" w:after="60"/>
      </w:pPr>
      <w:r>
        <w:rPr>
          <w:rFonts w:ascii="Calibri" w:hAnsi="Calibri"/>
          <w:b/>
          <w:color w:val="1C6EA4"/>
          <w:sz w:val="32"/>
        </w:rPr>
        <w:t>Executive Summary &amp; IP Architecture</w:t>
      </w:r>
    </w:p>
    <w:p>
      <w:pPr>
        <w:spacing w:before="40" w:after="80"/>
      </w:pPr>
      <w:r>
        <w:rPr>
          <w:rFonts w:ascii="Calibri" w:hAnsi="Calibri"/>
          <w:color w:val="212529"/>
          <w:sz w:val="22"/>
        </w:rPr>
        <w:t>This document establishes the definitive Freedom-to-Operate (FTO) clearance, prior-art landscape, and patentability architecture for Agrostech’s three foundational R&amp;D pillars:</w:t>
      </w:r>
    </w:p>
    <w:p>
      <w:pPr>
        <w:pStyle w:val="ListNumber"/>
        <w:spacing w:before="20" w:after="40"/>
      </w:pPr>
      <w:r>
        <w:rPr>
          <w:rFonts w:ascii="Calibri" w:hAnsi="Calibri"/>
          <w:b/>
          <w:color w:val="212529"/>
          <w:sz w:val="22"/>
        </w:rPr>
        <w:t>Área Contínua Multi-Feature Synchrony Fusion</w:t>
      </w:r>
      <w:r>
        <w:rPr>
          <w:rFonts w:ascii="Calibri" w:hAnsi="Calibri"/>
          <w:color w:val="212529"/>
          <w:sz w:val="22"/>
        </w:rPr>
        <w:t>: Cross-cadastral agricultural management detection under Central Bank Resolution CMN nº 5.267/2025.</w:t>
      </w:r>
    </w:p>
    <w:p>
      <w:pPr>
        <w:pStyle w:val="ListNumber"/>
        <w:spacing w:before="20" w:after="40"/>
      </w:pPr>
      <w:r>
        <w:rPr>
          <w:rFonts w:ascii="Calibri" w:hAnsi="Calibri"/>
          <w:b/>
          <w:color w:val="212529"/>
          <w:sz w:val="22"/>
        </w:rPr>
        <w:t>Decision-Theoretic Value-of-Information (VoI) UAV Drone Dispatch Engine</w:t>
      </w:r>
      <w:r>
        <w:rPr>
          <w:rFonts w:ascii="Calibri" w:hAnsi="Calibri"/>
          <w:color w:val="212529"/>
          <w:sz w:val="22"/>
        </w:rPr>
        <w:t>: Economic optimization of edge sensing balancing credit exposure, micro-meteorology, and phenological vulnerability.</w:t>
      </w:r>
    </w:p>
    <w:p>
      <w:pPr>
        <w:pStyle w:val="ListNumber"/>
        <w:spacing w:before="20" w:after="40"/>
      </w:pPr>
      <w:r>
        <w:rPr>
          <w:rFonts w:ascii="Calibri" w:hAnsi="Calibri"/>
          <w:b/>
          <w:color w:val="212529"/>
          <w:sz w:val="22"/>
        </w:rPr>
        <w:t>Uncertainty-Aware Probabilistic Hydrology &amp; Erosion Mechanics</w:t>
      </w:r>
      <w:r>
        <w:rPr>
          <w:rFonts w:ascii="Calibri" w:hAnsi="Calibri"/>
          <w:color w:val="212529"/>
          <w:sz w:val="22"/>
        </w:rPr>
        <w:t>: Distributed Monte Carlo perturbation over photogrammetric Digital Terrain Model (DTM) vertical error fields for agricultural terrace overtopping and MCR 2-9 compliance.</w:t>
      </w:r>
    </w:p>
    <w:p>
      <w:pPr>
        <w:spacing w:before="40" w:after="80"/>
      </w:pPr>
      <w:r>
        <w:rPr>
          <w:rFonts w:ascii="Calibri" w:hAnsi="Calibri"/>
          <w:color w:val="212529"/>
          <w:sz w:val="22"/>
        </w:rPr>
        <w:t xml:space="preserve">Through systematic examination of patent registries (INPI, USPTO, EPO, WIPO) and peer-reviewed scientific literature (Google Scholar, IEEE Xplore, ScienceDirect), this clearance confirms that </w:t>
      </w:r>
      <w:r>
        <w:rPr>
          <w:rFonts w:ascii="Calibri" w:hAnsi="Calibri"/>
          <w:b/>
          <w:color w:val="212529"/>
          <w:sz w:val="22"/>
        </w:rPr>
        <w:t>no blocking patents exist in Brazil or internationally</w:t>
      </w:r>
      <w:r>
        <w:rPr>
          <w:rFonts w:ascii="Calibri" w:hAnsi="Calibri"/>
          <w:color w:val="212529"/>
          <w:sz w:val="22"/>
        </w:rPr>
        <w:t xml:space="preserve"> that prevent Agrostech from practicing, commercializing, or patenting its proprietary methodologies. Existing solutions remain confined to single-parcel visual delineation, naive heuristic drone scheduling, and deterministic, noise-blind hydrology.</w:t>
      </w:r>
    </w:p>
    <w:p>
      <w:pPr>
        <w:spacing w:before="40" w:after="80"/>
      </w:pPr>
      <w:r>
        <w:rPr>
          <w:rFonts w:ascii="Calibri" w:hAnsi="Calibri"/>
          <w:color w:val="212529"/>
          <w:sz w:val="22"/>
        </w:rPr>
        <w:t>Agrostech secures a triple-layer intellectual property moat:</w:t>
      </w:r>
    </w:p>
    <w:p>
      <w:pPr>
        <w:pStyle w:val="ListNumber"/>
        <w:spacing w:before="20" w:after="40"/>
      </w:pPr>
      <w:r>
        <w:rPr>
          <w:rFonts w:ascii="Calibri" w:hAnsi="Calibri"/>
          <w:b/>
          <w:color w:val="212529"/>
          <w:sz w:val="22"/>
        </w:rPr>
        <w:t>Physical Process &amp; System Patents</w:t>
      </w:r>
      <w:r>
        <w:rPr>
          <w:rFonts w:ascii="Calibri" w:hAnsi="Calibri"/>
          <w:color w:val="212529"/>
          <w:sz w:val="22"/>
        </w:rPr>
        <w:t xml:space="preserve">: Drafted pursuant to INPI Portaria nº 411/2020 (Computer-Implemented Inventions) and eligible for fast-track prosecution via the Brazilian </w:t>
      </w:r>
      <w:r>
        <w:rPr>
          <w:rFonts w:ascii="Calibri" w:hAnsi="Calibri"/>
          <w:i/>
          <w:color w:val="212529"/>
          <w:sz w:val="22"/>
        </w:rPr>
        <w:t>Patentes Verdes</w:t>
      </w:r>
      <w:r>
        <w:rPr>
          <w:rFonts w:ascii="Calibri" w:hAnsi="Calibri"/>
          <w:color w:val="212529"/>
          <w:sz w:val="22"/>
        </w:rPr>
        <w:t xml:space="preserve"> (Green Patents) program under Portaria INPI/PR nº 247/2020.</w:t>
      </w:r>
    </w:p>
    <w:p>
      <w:pPr>
        <w:pStyle w:val="ListNumber"/>
        <w:spacing w:before="20" w:after="40"/>
      </w:pPr>
      <w:r>
        <w:rPr>
          <w:rFonts w:ascii="Calibri" w:hAnsi="Calibri"/>
          <w:b/>
          <w:color w:val="212529"/>
          <w:sz w:val="22"/>
        </w:rPr>
        <w:t>International PCT Priority</w:t>
      </w:r>
      <w:r>
        <w:rPr>
          <w:rFonts w:ascii="Calibri" w:hAnsi="Calibri"/>
          <w:color w:val="212529"/>
          <w:sz w:val="22"/>
        </w:rPr>
        <w:t>: 12-month priority bridge extending protection to the United States (USPTO), Europe (EPO), and Argentina (INPI AR).</w:t>
      </w:r>
    </w:p>
    <w:p>
      <w:pPr>
        <w:pStyle w:val="ListNumber"/>
        <w:spacing w:before="20" w:after="40"/>
      </w:pPr>
      <w:r>
        <w:rPr>
          <w:rFonts w:ascii="Calibri" w:hAnsi="Calibri"/>
          <w:b/>
          <w:color w:val="212529"/>
          <w:sz w:val="22"/>
        </w:rPr>
        <w:t>Trade Secret Enclave</w:t>
      </w:r>
      <w:r>
        <w:rPr>
          <w:rFonts w:ascii="Calibri" w:hAnsi="Calibri"/>
          <w:color w:val="212529"/>
          <w:sz w:val="22"/>
        </w:rPr>
        <w:t>: Proprietary sensor cross-calibration matrices, regional dielectric soil curves, and Bayesian weight hyper-parameters protected under Brazilian Industrial Property Law (Lei nº 9.279/1996, Art. 195) and cryptographically timestamped via ICP-Brasil standards.</w:t>
      </w:r>
    </w:p>
    <w:p>
      <w:pPr>
        <w:spacing w:before="120" w:after="120"/>
        <w:pBdr>
          <w:bottom w:val="single" w:sz="8" w:space="1" w:color="D0D5DD"/>
        </w:pBdr>
      </w:pPr>
    </w:p>
    <w:p>
      <w:pPr>
        <w:spacing w:before="240" w:after="60"/>
      </w:pPr>
      <w:r>
        <w:rPr>
          <w:rFonts w:ascii="Calibri" w:hAnsi="Calibri"/>
          <w:b/>
          <w:color w:val="1C6EA4"/>
          <w:sz w:val="32"/>
        </w:rPr>
        <w:t>1. Brazilian Statutory, Regulatory &amp; Judicial Context</w:t>
      </w:r>
    </w:p>
    <w:p>
      <w:pPr>
        <w:spacing w:before="40" w:after="80"/>
      </w:pPr>
      <w:r>
        <w:rPr>
          <w:rFonts w:ascii="Calibri" w:hAnsi="Calibri"/>
          <w:color w:val="212529"/>
          <w:sz w:val="22"/>
        </w:rPr>
        <w:t>Agrostech’s technical novelty is purpose-built to resolve structural compliance mandates created by recent statutory shifts in Brazilian rural credit and environmental law.</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200" w:type="dxa"/>
              <w:right w:w="200" w:type="dxa"/>
            </w:tcMar>
          </w:tcPr>
          <w:p>
            <w:pPr>
              <w:spacing w:before="40" w:after="40"/>
            </w:pPr>
            <w:r>
              <w:rPr>
                <w:rFonts w:ascii="Consolas" w:hAnsi="Consolas"/>
                <w:color w:val="1E293B"/>
                <w:sz w:val="17"/>
              </w:rPr>
              <w:t>┌─────────────────────────────────────────────────────────────────────────────────────────┐</w:t>
              <w:br/>
              <w:t>│                        BRAZILIAN STATUTORY COMPLIANCE ARCHITECTURE                      │</w:t>
              <w:br/>
              <w:t>├───────────────────────────────┬──────────────────────────────┬──────────────────────────┤</w:t>
              <w:br/>
              <w:t>│    BCB Resolução CMN 5.267    │    MAPA Instrução Normativa   │     Código Florestal     │</w:t>
              <w:br/>
              <w:t>│       MCR 2-7 &amp; MCR 2-9       │       SPA/MAPA Nº 2/2025     │    Lei Federal 12.651    │</w:t>
              <w:br/>
              <w:t>├───────────────────────────────┼──────────────────────────────┼──────────────────────────┤</w:t>
              <w:br/>
              <w:t>│ • Mandatory continuous remote │ • Zoneamento Agrícola por    │ • Art. 4º, V: Slopes     │</w:t>
              <w:br/>
              <w:t>│   sensing for loans &gt; 300 ha. │   Níveis de Manejo (ZarcNM). │   &gt; 45° (100%) are APP.  │</w:t>
              <w:br/>
              <w:t>│ • Audit of "Área Contínua ao  │ • 4 Management Tiers:        │ • Art. 11: 25°-45° are   │</w:t>
              <w:br/>
              <w:t>│   Empreendimento" across CAR. │   NM1 (Degraded) to NM4.     │   Restricted Use areas.  │</w:t>
              <w:br/>
              <w:t>│ • "Responsabilidade Indelegá- │ • Slopes &gt; 3% strictly       │ • Art. 15: Cadastral APP │</w:t>
              <w:br/>
              <w:t>│   vel" on banks/lenders.      │   require contour planting.  │   and RL deduplication.  │</w:t>
              <w:br/>
              <w:t>│ • Fraud Vector: Ghost crops &amp; │ • Subsidized insurance (PSR) │ • Criminal liability:    │</w:t>
              <w:br/>
              <w:t>│   parcel masking (Lei 7.492). │   tied to tier validation.   │   Lei 9.605/98 (Crimes). │</w:t>
              <w:br/>
              <w:t>└───────────────────────────────┴──────────────────────────────┴──────────────────────────┘</w:t>
            </w:r>
          </w:p>
        </w:tc>
      </w:tr>
    </w:tbl>
    <w:p>
      <w:pPr>
        <w:spacing w:after="80"/>
      </w:pPr>
    </w:p>
    <w:p>
      <w:pPr>
        <w:spacing w:before="200" w:after="40"/>
      </w:pPr>
      <w:r>
        <w:rPr>
          <w:rFonts w:ascii="Calibri" w:hAnsi="Calibri"/>
          <w:b/>
          <w:color w:val="102C57"/>
          <w:sz w:val="26"/>
        </w:rPr>
        <w:t>1.1 BCB / CMN Resolução nº 5.267/2025 &amp; MCR 2-7 / 2-9</w:t>
      </w:r>
    </w:p>
    <w:p>
      <w:pPr>
        <w:spacing w:before="40" w:after="80"/>
      </w:pPr>
      <w:r>
        <w:rPr>
          <w:rFonts w:ascii="Calibri" w:hAnsi="Calibri"/>
          <w:color w:val="212529"/>
          <w:sz w:val="22"/>
        </w:rPr>
        <w:t>Promulgated by the National Monetary Council (</w:t>
      </w:r>
      <w:r>
        <w:rPr>
          <w:rFonts w:ascii="Calibri" w:hAnsi="Calibri"/>
          <w:i/>
          <w:color w:val="212529"/>
          <w:sz w:val="22"/>
        </w:rPr>
        <w:t>Conselho Monetário Nacional - CMN</w:t>
      </w:r>
      <w:r>
        <w:rPr>
          <w:rFonts w:ascii="Calibri" w:hAnsi="Calibri"/>
          <w:color w:val="212529"/>
          <w:sz w:val="22"/>
        </w:rPr>
        <w:t>) and enacted by the Central Bank of Brazil (</w:t>
      </w:r>
      <w:r>
        <w:rPr>
          <w:rFonts w:ascii="Calibri" w:hAnsi="Calibri"/>
          <w:i/>
          <w:color w:val="212529"/>
          <w:sz w:val="22"/>
        </w:rPr>
        <w:t>Banco Central do Brasil - BCB</w:t>
      </w:r>
      <w:r>
        <w:rPr>
          <w:rFonts w:ascii="Calibri" w:hAnsi="Calibri"/>
          <w:color w:val="212529"/>
          <w:sz w:val="22"/>
        </w:rPr>
        <w:t xml:space="preserve">) on November 28, 2025, </w:t>
      </w:r>
      <w:r>
        <w:rPr>
          <w:rFonts w:ascii="Calibri" w:hAnsi="Calibri"/>
          <w:b/>
          <w:color w:val="212529"/>
          <w:sz w:val="22"/>
        </w:rPr>
        <w:t>Resolução CMN nº 5.267</w:t>
      </w:r>
      <w:r>
        <w:rPr>
          <w:rFonts w:ascii="Calibri" w:hAnsi="Calibri"/>
          <w:color w:val="212529"/>
          <w:sz w:val="22"/>
        </w:rPr>
        <w:t xml:space="preserve"> became mandatory for all operations in the National Rural Credit System (</w:t>
      </w:r>
      <w:r>
        <w:rPr>
          <w:rFonts w:ascii="Calibri" w:hAnsi="Calibri"/>
          <w:i/>
          <w:color w:val="212529"/>
          <w:sz w:val="22"/>
        </w:rPr>
        <w:t>Sistema Nacional de Crédito Rural - SNCR</w:t>
      </w:r>
      <w:r>
        <w:rPr>
          <w:rFonts w:ascii="Calibri" w:hAnsi="Calibri"/>
          <w:color w:val="212529"/>
          <w:sz w:val="22"/>
        </w:rPr>
        <w:t xml:space="preserve">) on </w:t>
      </w:r>
      <w:r>
        <w:rPr>
          <w:rFonts w:ascii="Calibri" w:hAnsi="Calibri"/>
          <w:b/>
          <w:color w:val="212529"/>
          <w:sz w:val="22"/>
        </w:rPr>
        <w:t>March 1, 2026</w:t>
      </w:r>
      <w:r>
        <w:rPr>
          <w:rFonts w:ascii="Calibri" w:hAnsi="Calibri"/>
          <w:color w:val="212529"/>
          <w:sz w:val="22"/>
        </w:rPr>
        <w:t>:</w:t>
      </w:r>
    </w:p>
    <w:p>
      <w:pPr>
        <w:pStyle w:val="ListBullet"/>
        <w:spacing w:before="20" w:after="40"/>
      </w:pPr>
      <w:r>
        <w:rPr>
          <w:rFonts w:ascii="Calibri" w:hAnsi="Calibri"/>
          <w:b/>
          <w:color w:val="212529"/>
          <w:sz w:val="22"/>
        </w:rPr>
        <w:t>Continuous Remote Sensing Obligation</w:t>
      </w:r>
      <w:r>
        <w:rPr>
          <w:rFonts w:ascii="Calibri" w:hAnsi="Calibri"/>
          <w:color w:val="212529"/>
          <w:sz w:val="22"/>
        </w:rPr>
        <w:t>: Financial institutions must perform continuous satellite- and remote-sensing-based inspection (</w:t>
      </w:r>
      <w:r>
        <w:rPr>
          <w:rFonts w:ascii="Calibri" w:hAnsi="Calibri"/>
          <w:i/>
          <w:color w:val="212529"/>
          <w:sz w:val="22"/>
        </w:rPr>
        <w:t>sensoriamento remoto contínuo</w:t>
      </w:r>
      <w:r>
        <w:rPr>
          <w:rFonts w:ascii="Calibri" w:hAnsi="Calibri"/>
          <w:color w:val="212529"/>
          <w:sz w:val="22"/>
        </w:rPr>
        <w:t xml:space="preserve">) across the full agricultural lifecycle for all financing arrangements with total property area exceeding </w:t>
      </w:r>
      <w:r>
        <w:rPr>
          <w:rFonts w:ascii="Calibri" w:hAnsi="Calibri"/>
          <w:b/>
          <w:color w:val="212529"/>
          <w:sz w:val="22"/>
        </w:rPr>
        <w:t>300 hectares</w:t>
      </w:r>
      <w:r>
        <w:rPr>
          <w:rFonts w:ascii="Calibri" w:hAnsi="Calibri"/>
          <w:color w:val="212529"/>
          <w:sz w:val="22"/>
        </w:rPr>
        <w:t>.</w:t>
      </w:r>
    </w:p>
    <w:p>
      <w:pPr>
        <w:pStyle w:val="ListBullet"/>
        <w:spacing w:before="20" w:after="40"/>
      </w:pPr>
      <w:r>
        <w:rPr>
          <w:rFonts w:ascii="Calibri" w:hAnsi="Calibri"/>
          <w:b/>
          <w:color w:val="212529"/>
          <w:sz w:val="22"/>
        </w:rPr>
        <w:t>Audit Cadence &amp; Inspection Milestones</w:t>
      </w:r>
      <w:r>
        <w:rPr>
          <w:rFonts w:ascii="Calibri" w:hAnsi="Calibri"/>
          <w:color w:val="212529"/>
          <w:sz w:val="22"/>
        </w:rPr>
        <w:t>:</w:t>
      </w:r>
    </w:p>
    <w:p>
      <w:pPr>
        <w:pStyle w:val="ListNumber"/>
        <w:spacing w:before="20" w:after="40"/>
      </w:pPr>
      <w:r>
        <w:rPr>
          <w:rFonts w:ascii="Calibri" w:hAnsi="Calibri"/>
          <w:i/>
          <w:color w:val="212529"/>
          <w:sz w:val="22"/>
        </w:rPr>
        <w:t>Pré-formalização</w:t>
      </w:r>
      <w:r>
        <w:rPr>
          <w:rFonts w:ascii="Calibri" w:hAnsi="Calibri"/>
          <w:color w:val="212529"/>
          <w:sz w:val="22"/>
        </w:rPr>
        <w:t>: Land title validation, deforestation screening, overlap checks, and agricultural aptitude verification.</w:t>
      </w:r>
    </w:p>
    <w:p>
      <w:pPr>
        <w:pStyle w:val="ListNumber"/>
        <w:spacing w:before="20" w:after="40"/>
      </w:pPr>
      <w:r>
        <w:rPr>
          <w:rFonts w:ascii="Calibri" w:hAnsi="Calibri"/>
          <w:i/>
          <w:color w:val="212529"/>
          <w:sz w:val="22"/>
        </w:rPr>
        <w:t>Emergência da Lavoura</w:t>
      </w:r>
      <w:r>
        <w:rPr>
          <w:rFonts w:ascii="Calibri" w:hAnsi="Calibri"/>
          <w:color w:val="212529"/>
          <w:sz w:val="22"/>
        </w:rPr>
        <w:t xml:space="preserve">: Mandatory remote verification of seedling emergence within </w:t>
      </w:r>
      <w:r>
        <w:rPr>
          <w:rFonts w:ascii="Calibri" w:hAnsi="Calibri"/>
          <w:b/>
          <w:color w:val="212529"/>
          <w:sz w:val="22"/>
        </w:rPr>
        <w:t>22 days post-sowing</w:t>
      </w:r>
      <w:r>
        <w:rPr>
          <w:rFonts w:ascii="Calibri" w:hAnsi="Calibri"/>
          <w:color w:val="212529"/>
          <w:sz w:val="22"/>
        </w:rPr>
        <w:t>.</w:t>
      </w:r>
    </w:p>
    <w:p>
      <w:pPr>
        <w:pStyle w:val="ListNumber"/>
        <w:spacing w:before="20" w:after="40"/>
      </w:pPr>
      <w:r>
        <w:rPr>
          <w:rFonts w:ascii="Calibri" w:hAnsi="Calibri"/>
          <w:i/>
          <w:color w:val="212529"/>
          <w:sz w:val="22"/>
        </w:rPr>
        <w:t>Meio de Ciclo</w:t>
      </w:r>
      <w:r>
        <w:rPr>
          <w:rFonts w:ascii="Calibri" w:hAnsi="Calibri"/>
          <w:color w:val="212529"/>
          <w:sz w:val="22"/>
        </w:rPr>
        <w:t>: Mid-cycle vegetative vigor, biomass development, and canopy closure monitoring.</w:t>
      </w:r>
    </w:p>
    <w:p>
      <w:pPr>
        <w:pStyle w:val="ListNumber"/>
        <w:spacing w:before="20" w:after="40"/>
      </w:pPr>
      <w:r>
        <w:rPr>
          <w:rFonts w:ascii="Calibri" w:hAnsi="Calibri"/>
          <w:i/>
          <w:color w:val="212529"/>
          <w:sz w:val="22"/>
        </w:rPr>
        <w:t>Colheita</w:t>
      </w:r>
      <w:r>
        <w:rPr>
          <w:rFonts w:ascii="Calibri" w:hAnsi="Calibri"/>
          <w:color w:val="212529"/>
          <w:sz w:val="22"/>
        </w:rPr>
        <w:t>: Pre-harvest verification and post-harvest biomass drop tracking to certify grain yield and combat unauthorized grain diversion (</w:t>
      </w:r>
      <w:r>
        <w:rPr>
          <w:rFonts w:ascii="Calibri" w:hAnsi="Calibri"/>
          <w:i/>
          <w:color w:val="212529"/>
          <w:sz w:val="22"/>
        </w:rPr>
        <w:t>fuga de grãos</w:t>
      </w:r>
      <w:r>
        <w:rPr>
          <w:rFonts w:ascii="Calibri" w:hAnsi="Calibri"/>
          <w:color w:val="212529"/>
          <w:sz w:val="22"/>
        </w:rPr>
        <w:t>).</w:t>
      </w:r>
    </w:p>
    <w:p>
      <w:pPr>
        <w:pStyle w:val="ListBullet"/>
        <w:spacing w:before="20" w:after="40"/>
      </w:pPr>
      <w:r>
        <w:rPr>
          <w:rFonts w:ascii="Calibri" w:hAnsi="Calibri"/>
          <w:b/>
          <w:color w:val="212529"/>
          <w:sz w:val="22"/>
        </w:rPr>
        <w:t>The "Área Contínua ao Empreendimento" Legal Mandate</w:t>
      </w:r>
      <w:r>
        <w:rPr>
          <w:rFonts w:ascii="Calibri" w:hAnsi="Calibri"/>
          <w:color w:val="212529"/>
          <w:sz w:val="22"/>
        </w:rPr>
        <w:t>: The resolution formally codifies that remote monitoring cannot be artificially bounded by the cadastral polygon registered in the Rural Environmental Registry (</w:t>
      </w:r>
      <w:r>
        <w:rPr>
          <w:rFonts w:ascii="Calibri" w:hAnsi="Calibri"/>
          <w:i/>
          <w:color w:val="212529"/>
          <w:sz w:val="22"/>
        </w:rPr>
        <w:t>Cadastro Ambiental Rural - CAR</w:t>
      </w:r>
      <w:r>
        <w:rPr>
          <w:rFonts w:ascii="Calibri" w:hAnsi="Calibri"/>
          <w:color w:val="212529"/>
          <w:sz w:val="22"/>
        </w:rPr>
        <w:t>). Where an agricultural enterprise operates across multiple adjoining parcels, the financial institution must audit the entire contiguous operational area (</w:t>
      </w:r>
      <w:r>
        <w:rPr>
          <w:rFonts w:ascii="Calibri" w:hAnsi="Calibri"/>
          <w:i/>
          <w:color w:val="212529"/>
          <w:sz w:val="22"/>
        </w:rPr>
        <w:t>área contínua</w:t>
      </w:r>
      <w:r>
        <w:rPr>
          <w:rFonts w:ascii="Calibri" w:hAnsi="Calibri"/>
          <w:color w:val="212529"/>
          <w:sz w:val="22"/>
        </w:rPr>
        <w:t>).</w:t>
      </w:r>
    </w:p>
    <w:p>
      <w:pPr>
        <w:pStyle w:val="ListBullet"/>
        <w:spacing w:before="20" w:after="40"/>
      </w:pPr>
      <w:r>
        <w:rPr>
          <w:rFonts w:ascii="Calibri" w:hAnsi="Calibri"/>
          <w:b/>
          <w:color w:val="212529"/>
          <w:sz w:val="22"/>
        </w:rPr>
        <w:t>Non-Delegable Institutional Responsibility (*Responsabilidade Indelegável*)</w:t>
      </w:r>
      <w:r>
        <w:rPr>
          <w:rFonts w:ascii="Calibri" w:hAnsi="Calibri"/>
          <w:color w:val="212529"/>
          <w:sz w:val="22"/>
        </w:rPr>
        <w:t>: Contracting third-party monitoring vendors or certification companies does not transfer, diminish, or exempt the financial institution from direct administrative, civil, and regulatory liability. Under Central Bank auditing, an uninspected loan or undetected embargo cross-contamination results in immediate regulatory infraction, compulsory write-down of interest-rate subvention (</w:t>
      </w:r>
      <w:r>
        <w:rPr>
          <w:rFonts w:ascii="Calibri" w:hAnsi="Calibri"/>
          <w:i/>
          <w:color w:val="212529"/>
          <w:sz w:val="22"/>
        </w:rPr>
        <w:t>taxa equalizável</w:t>
      </w:r>
      <w:r>
        <w:rPr>
          <w:rFonts w:ascii="Calibri" w:hAnsi="Calibri"/>
          <w:color w:val="212529"/>
          <w:sz w:val="22"/>
        </w:rPr>
        <w:t>), and institutional fines.</w:t>
      </w:r>
    </w:p>
    <w:p>
      <w:pPr>
        <w:pStyle w:val="ListBullet"/>
        <w:spacing w:before="20" w:after="40"/>
      </w:pPr>
      <w:r>
        <w:rPr>
          <w:rFonts w:ascii="Calibri" w:hAnsi="Calibri"/>
          <w:b/>
          <w:color w:val="212529"/>
          <w:sz w:val="22"/>
        </w:rPr>
        <w:t>Credit Fraud Vectors &amp; Criminal Sanctions</w:t>
      </w:r>
      <w:r>
        <w:rPr>
          <w:rFonts w:ascii="Calibri" w:hAnsi="Calibri"/>
          <w:color w:val="212529"/>
          <w:sz w:val="22"/>
        </w:rPr>
        <w:t>:</w:t>
      </w:r>
    </w:p>
    <w:p>
      <w:pPr>
        <w:pStyle w:val="ListBullet"/>
        <w:spacing w:before="20" w:after="40"/>
      </w:pPr>
      <w:r>
        <w:rPr>
          <w:rFonts w:ascii="Calibri" w:hAnsi="Calibri"/>
          <w:i/>
          <w:color w:val="212529"/>
          <w:sz w:val="22"/>
        </w:rPr>
        <w:t>Cadastral Fragmentation Fraud</w:t>
      </w:r>
      <w:r>
        <w:rPr>
          <w:rFonts w:ascii="Calibri" w:hAnsi="Calibri"/>
          <w:color w:val="212529"/>
          <w:sz w:val="22"/>
        </w:rPr>
        <w:t>: Borrowers intentionally subdivide a 1,200 ha farm into four 299 ha CAR registrations in SICAR to evade mandatory remote sensing audits under the 300 ha threshold.</w:t>
      </w:r>
    </w:p>
    <w:p>
      <w:pPr>
        <w:pStyle w:val="ListBullet"/>
        <w:spacing w:before="20" w:after="40"/>
      </w:pPr>
      <w:r>
        <w:rPr>
          <w:rFonts w:ascii="Calibri" w:hAnsi="Calibri"/>
          <w:i/>
          <w:color w:val="212529"/>
          <w:sz w:val="22"/>
        </w:rPr>
        <w:t>Collateral Masking</w:t>
      </w:r>
      <w:r>
        <w:rPr>
          <w:rFonts w:ascii="Calibri" w:hAnsi="Calibri"/>
          <w:color w:val="212529"/>
          <w:sz w:val="22"/>
        </w:rPr>
        <w:t>: Pledging an environmentally compliant 200 ha parcel to secure credit, while applying the financed inputs (fertilizers, chemicals, seeds) onto adjacent embargoed, unregistered, or public lands.</w:t>
      </w:r>
    </w:p>
    <w:p>
      <w:pPr>
        <w:pStyle w:val="ListBullet"/>
        <w:spacing w:before="20" w:after="40"/>
      </w:pPr>
      <w:r>
        <w:rPr>
          <w:rFonts w:ascii="Calibri" w:hAnsi="Calibri"/>
          <w:i/>
          <w:color w:val="212529"/>
          <w:sz w:val="22"/>
        </w:rPr>
        <w:t>Ghost Crops (</w:t>
      </w:r>
      <w:r>
        <w:rPr>
          <w:rFonts w:ascii="Calibri" w:hAnsi="Calibri"/>
          <w:color w:val="212529"/>
          <w:sz w:val="22"/>
        </w:rPr>
        <w:t>Safra Fantasma</w:t>
      </w:r>
      <w:r>
        <w:rPr>
          <w:rFonts w:ascii="Calibri" w:hAnsi="Calibri"/>
          <w:i/>
          <w:color w:val="212529"/>
          <w:sz w:val="22"/>
        </w:rPr>
        <w:t>)</w:t>
      </w:r>
      <w:r>
        <w:rPr>
          <w:rFonts w:ascii="Calibri" w:hAnsi="Calibri"/>
          <w:color w:val="212529"/>
          <w:sz w:val="22"/>
        </w:rPr>
        <w:t>: Pledging land for crop credit but leaving it uncultivated or in pasture while diverting capital into speculative ventures, triggering criminal liability under Federal Law nº 7.492/1986, Art. 19 (</w:t>
      </w:r>
      <w:r>
        <w:rPr>
          <w:rFonts w:ascii="Calibri" w:hAnsi="Calibri"/>
          <w:i/>
          <w:color w:val="212529"/>
          <w:sz w:val="22"/>
        </w:rPr>
        <w:t>Crimes Contra o Sistema Financeiro Nacional</w:t>
      </w:r>
      <w:r>
        <w:rPr>
          <w:rFonts w:ascii="Calibri" w:hAnsi="Calibri"/>
          <w:color w:val="212529"/>
          <w:sz w:val="22"/>
        </w:rPr>
        <w:t>).</w:t>
      </w:r>
    </w:p>
    <w:p>
      <w:pPr>
        <w:spacing w:before="200" w:after="40"/>
      </w:pPr>
      <w:r>
        <w:rPr>
          <w:rFonts w:ascii="Calibri" w:hAnsi="Calibri"/>
          <w:b/>
          <w:color w:val="102C57"/>
          <w:sz w:val="26"/>
        </w:rPr>
        <w:t>1.2 MAPA / ZARC &amp; ZarcNM (IN SPA/MAPA nº 2/2025)</w:t>
      </w:r>
    </w:p>
    <w:p>
      <w:pPr>
        <w:spacing w:before="40" w:after="80"/>
      </w:pPr>
      <w:r>
        <w:rPr>
          <w:rFonts w:ascii="Calibri" w:hAnsi="Calibri"/>
          <w:color w:val="212529"/>
          <w:sz w:val="22"/>
        </w:rPr>
        <w:t>Enacted by the Ministry of Agriculture, Livestock and Food Supply (</w:t>
      </w:r>
      <w:r>
        <w:rPr>
          <w:rFonts w:ascii="Calibri" w:hAnsi="Calibri"/>
          <w:i/>
          <w:color w:val="212529"/>
          <w:sz w:val="22"/>
        </w:rPr>
        <w:t>Ministério da Agricultura e Pecuária - MAPA</w:t>
      </w:r>
      <w:r>
        <w:rPr>
          <w:rFonts w:ascii="Calibri" w:hAnsi="Calibri"/>
          <w:color w:val="212529"/>
          <w:sz w:val="22"/>
        </w:rPr>
        <w:t xml:space="preserve">) on July 8, 2025, </w:t>
      </w:r>
      <w:r>
        <w:rPr>
          <w:rFonts w:ascii="Calibri" w:hAnsi="Calibri"/>
          <w:b/>
          <w:color w:val="212529"/>
          <w:sz w:val="22"/>
        </w:rPr>
        <w:t>Instrução Normativa SPA/MAPA nº 2/2025</w:t>
      </w:r>
      <w:r>
        <w:rPr>
          <w:rFonts w:ascii="Calibri" w:hAnsi="Calibri"/>
          <w:color w:val="212529"/>
          <w:sz w:val="22"/>
        </w:rPr>
        <w:t xml:space="preserve"> governs the </w:t>
      </w:r>
      <w:r>
        <w:rPr>
          <w:rFonts w:ascii="Calibri" w:hAnsi="Calibri"/>
          <w:i/>
          <w:color w:val="212529"/>
          <w:sz w:val="22"/>
        </w:rPr>
        <w:t>Zoneamento Agrícola de Risco Climático por Níveis de Manejo</w:t>
      </w:r>
      <w:r>
        <w:rPr>
          <w:rFonts w:ascii="Calibri" w:hAnsi="Calibri"/>
          <w:color w:val="212529"/>
          <w:sz w:val="22"/>
        </w:rPr>
        <w:t xml:space="preserve"> (ZarcNM):</w:t>
      </w:r>
    </w:p>
    <w:p>
      <w:pPr>
        <w:pStyle w:val="ListBullet"/>
        <w:spacing w:before="20" w:after="40"/>
      </w:pPr>
      <w:r>
        <w:rPr>
          <w:rFonts w:ascii="Calibri" w:hAnsi="Calibri"/>
          <w:b/>
          <w:color w:val="212529"/>
          <w:sz w:val="22"/>
        </w:rPr>
        <w:t>4 Management Tiers (NM1 to NM4)</w:t>
      </w:r>
      <w:r>
        <w:rPr>
          <w:rFonts w:ascii="Calibri" w:hAnsi="Calibri"/>
          <w:color w:val="212529"/>
          <w:sz w:val="22"/>
        </w:rPr>
        <w:t>: Replaces generic geographic zoning with soil-management-dependent risk stratification:</w:t>
      </w:r>
    </w:p>
    <w:p>
      <w:pPr>
        <w:pStyle w:val="ListBullet"/>
        <w:spacing w:before="20" w:after="40"/>
      </w:pPr>
      <w:r>
        <w:rPr>
          <w:rFonts w:ascii="Calibri" w:hAnsi="Calibri"/>
          <w:i/>
          <w:color w:val="212529"/>
          <w:sz w:val="22"/>
        </w:rPr>
        <w:t>NM1 (Manejo Básico)</w:t>
      </w:r>
      <w:r>
        <w:rPr>
          <w:rFonts w:ascii="Calibri" w:hAnsi="Calibri"/>
          <w:color w:val="212529"/>
          <w:sz w:val="22"/>
        </w:rPr>
        <w:t>: Conventional soil tillage, low organic matter, vulnerable soil profile.</w:t>
      </w:r>
    </w:p>
    <w:p>
      <w:pPr>
        <w:pStyle w:val="ListBullet"/>
        <w:spacing w:before="20" w:after="40"/>
      </w:pPr>
      <w:r>
        <w:rPr>
          <w:rFonts w:ascii="Calibri" w:hAnsi="Calibri"/>
          <w:i/>
          <w:color w:val="212529"/>
          <w:sz w:val="22"/>
        </w:rPr>
        <w:t>NM2 (Manejo Intermediário)</w:t>
      </w:r>
      <w:r>
        <w:rPr>
          <w:rFonts w:ascii="Calibri" w:hAnsi="Calibri"/>
          <w:color w:val="212529"/>
          <w:sz w:val="22"/>
        </w:rPr>
        <w:t>: Incipient direct planting (SPD), basic crop succession.</w:t>
      </w:r>
    </w:p>
    <w:p>
      <w:pPr>
        <w:pStyle w:val="ListBullet"/>
        <w:spacing w:before="20" w:after="40"/>
      </w:pPr>
      <w:r>
        <w:rPr>
          <w:rFonts w:ascii="Calibri" w:hAnsi="Calibri"/>
          <w:i/>
          <w:color w:val="212529"/>
          <w:sz w:val="22"/>
        </w:rPr>
        <w:t>NM3 (Manejo Avançado)</w:t>
      </w:r>
      <w:r>
        <w:rPr>
          <w:rFonts w:ascii="Calibri" w:hAnsi="Calibri"/>
          <w:color w:val="212529"/>
          <w:sz w:val="22"/>
        </w:rPr>
        <w:t>: Established direct planting, biological structuring, diverse rotation.</w:t>
      </w:r>
    </w:p>
    <w:p>
      <w:pPr>
        <w:pStyle w:val="ListBullet"/>
        <w:spacing w:before="20" w:after="40"/>
      </w:pPr>
      <w:r>
        <w:rPr>
          <w:rFonts w:ascii="Calibri" w:hAnsi="Calibri"/>
          <w:i/>
          <w:color w:val="212529"/>
          <w:sz w:val="22"/>
        </w:rPr>
        <w:t>NM4 (Alta Resiliência)</w:t>
      </w:r>
      <w:r>
        <w:rPr>
          <w:rFonts w:ascii="Calibri" w:hAnsi="Calibri"/>
          <w:color w:val="212529"/>
          <w:sz w:val="22"/>
        </w:rPr>
        <w:t>: Consolidated Sistema Plantio Direto ($&gt; 8\text{--}10\text{ years}$ without disturbance), extensive straw cover, biological health, maximum drought resilience. Qualifies for maximum federal insurance subvention (PSR/Proagro) and preferential credit spreads.</w:t>
      </w:r>
    </w:p>
    <w:p>
      <w:pPr>
        <w:pStyle w:val="ListBullet"/>
        <w:spacing w:before="20" w:after="40"/>
      </w:pPr>
      <w:r>
        <w:rPr>
          <w:rFonts w:ascii="Calibri" w:hAnsi="Calibri"/>
          <w:b/>
          <w:color w:val="212529"/>
          <w:sz w:val="22"/>
        </w:rPr>
        <w:t>Topographic Contour Planting Mandate (§3º)</w:t>
      </w:r>
      <w:r>
        <w:rPr>
          <w:rFonts w:ascii="Calibri" w:hAnsi="Calibri"/>
          <w:color w:val="212529"/>
          <w:sz w:val="22"/>
        </w:rPr>
        <w:t>:</w:t>
      </w:r>
    </w:p>
    <w:p>
      <w:pPr>
        <w:pStyle w:val="ListBullet"/>
        <w:spacing w:before="20" w:after="40"/>
      </w:pPr>
      <w:r>
        <w:rPr>
          <w:rFonts w:ascii="Calibri" w:hAnsi="Calibri"/>
          <w:color w:val="212529"/>
          <w:sz w:val="22"/>
        </w:rPr>
        <w:t xml:space="preserve">On agricultural parcels exhibiting terrain slope </w:t>
      </w:r>
      <w:r>
        <w:rPr>
          <w:rFonts w:ascii="Calibri" w:hAnsi="Calibri"/>
          <w:b/>
          <w:color w:val="212529"/>
          <w:sz w:val="22"/>
        </w:rPr>
        <w:t>greater than 3%</w:t>
      </w:r>
      <w:r>
        <w:rPr>
          <w:rFonts w:ascii="Calibri" w:hAnsi="Calibri"/>
          <w:color w:val="212529"/>
          <w:sz w:val="22"/>
        </w:rPr>
        <w:t xml:space="preserve">, qualification for tiers NM2, NM3, or NM4 </w:t>
      </w:r>
      <w:r>
        <w:rPr>
          <w:rFonts w:ascii="Calibri" w:hAnsi="Calibri"/>
          <w:b/>
          <w:color w:val="212529"/>
          <w:sz w:val="22"/>
        </w:rPr>
        <w:t>strictly requires contour planting</w:t>
      </w:r>
      <w:r>
        <w:rPr>
          <w:rFonts w:ascii="Calibri" w:hAnsi="Calibri"/>
          <w:color w:val="212529"/>
          <w:sz w:val="22"/>
        </w:rPr>
        <w:t xml:space="preserve"> (</w:t>
      </w:r>
      <w:r>
        <w:rPr>
          <w:rFonts w:ascii="Calibri" w:hAnsi="Calibri"/>
          <w:i/>
          <w:color w:val="212529"/>
          <w:sz w:val="22"/>
        </w:rPr>
        <w:t>semeadura em nível ou contorno</w:t>
      </w:r>
      <w:r>
        <w:rPr>
          <w:rFonts w:ascii="Calibri" w:hAnsi="Calibri"/>
          <w:color w:val="212529"/>
          <w:sz w:val="22"/>
        </w:rPr>
        <w:t>).</w:t>
      </w:r>
    </w:p>
    <w:p>
      <w:pPr>
        <w:pStyle w:val="ListBullet"/>
        <w:spacing w:before="20" w:after="40"/>
      </w:pPr>
      <w:r>
        <w:rPr>
          <w:rFonts w:ascii="Calibri" w:hAnsi="Calibri"/>
          <w:color w:val="212529"/>
          <w:sz w:val="22"/>
        </w:rPr>
        <w:t>Up-and-down slope planting (</w:t>
      </w:r>
      <w:r>
        <w:rPr>
          <w:rFonts w:ascii="Calibri" w:hAnsi="Calibri"/>
          <w:i/>
          <w:color w:val="212529"/>
          <w:sz w:val="22"/>
        </w:rPr>
        <w:t>semeadura morro abaixo</w:t>
      </w:r>
      <w:r>
        <w:rPr>
          <w:rFonts w:ascii="Calibri" w:hAnsi="Calibri"/>
          <w:color w:val="212529"/>
          <w:sz w:val="22"/>
        </w:rPr>
        <w:t>) on slopes $&gt; 3\%$ causes automatic downgrade to Tier NM1, disqualifying the producer from premium insurance subsidies and triggering bank risk recalculations.</w:t>
      </w:r>
    </w:p>
    <w:p>
      <w:pPr>
        <w:spacing w:before="200" w:after="40"/>
      </w:pPr>
      <w:r>
        <w:rPr>
          <w:rFonts w:ascii="Calibri" w:hAnsi="Calibri"/>
          <w:b/>
          <w:color w:val="102C57"/>
          <w:sz w:val="26"/>
        </w:rPr>
        <w:t>1.3 Brazilian Forest Code (Lei Federal nº 12.651/2012)</w:t>
      </w:r>
    </w:p>
    <w:p>
      <w:pPr>
        <w:pStyle w:val="ListBullet"/>
        <w:spacing w:before="20" w:after="40"/>
      </w:pPr>
      <w:r>
        <w:rPr>
          <w:rFonts w:ascii="Calibri" w:hAnsi="Calibri"/>
          <w:b/>
          <w:color w:val="212529"/>
          <w:sz w:val="22"/>
        </w:rPr>
        <w:t>Art. 4º, V (Strict 45° Slope APP)</w:t>
      </w:r>
      <w:r>
        <w:rPr>
          <w:rFonts w:ascii="Calibri" w:hAnsi="Calibri"/>
          <w:color w:val="212529"/>
          <w:sz w:val="22"/>
        </w:rPr>
        <w:t xml:space="preserve">: Slopes or parts of slopes with an inclination greater than </w:t>
      </w:r>
      <w:r>
        <w:rPr>
          <w:rFonts w:ascii="Calibri" w:hAnsi="Calibri"/>
          <w:b/>
          <w:color w:val="212529"/>
          <w:sz w:val="22"/>
        </w:rPr>
        <w:t>45° (equivalent to 100% along the line of greatest slope)</w:t>
      </w:r>
      <w:r>
        <w:rPr>
          <w:rFonts w:ascii="Calibri" w:hAnsi="Calibri"/>
          <w:color w:val="212529"/>
          <w:sz w:val="22"/>
        </w:rPr>
        <w:t xml:space="preserve"> are designated Permanent Preservation Areas (</w:t>
      </w:r>
      <w:r>
        <w:rPr>
          <w:rFonts w:ascii="Calibri" w:hAnsi="Calibri"/>
          <w:i/>
          <w:color w:val="212529"/>
          <w:sz w:val="22"/>
        </w:rPr>
        <w:t>Áreas de Preservação Permanente - APP</w:t>
      </w:r>
      <w:r>
        <w:rPr>
          <w:rFonts w:ascii="Calibri" w:hAnsi="Calibri"/>
          <w:color w:val="212529"/>
          <w:sz w:val="22"/>
        </w:rPr>
        <w:t>). Cultivation or vegetation removal is an environmental crime (Lei Federal nº 9.605/1998, Arts. 38/38-A).</w:t>
      </w:r>
    </w:p>
    <w:p>
      <w:pPr>
        <w:pStyle w:val="ListBullet"/>
        <w:spacing w:before="20" w:after="40"/>
      </w:pPr>
      <w:r>
        <w:rPr>
          <w:rFonts w:ascii="Calibri" w:hAnsi="Calibri"/>
          <w:b/>
          <w:color w:val="212529"/>
          <w:sz w:val="22"/>
        </w:rPr>
        <w:t>Art. 11 (Restricted Use: 25° to 45°)</w:t>
      </w:r>
      <w:r>
        <w:rPr>
          <w:rFonts w:ascii="Calibri" w:hAnsi="Calibri"/>
          <w:color w:val="212529"/>
          <w:sz w:val="22"/>
        </w:rPr>
        <w:t>: Land with slope between 25° and 45° allows agricultural use only under strict soil and water conservation management plans.</w:t>
      </w:r>
    </w:p>
    <w:p>
      <w:pPr>
        <w:pStyle w:val="ListBullet"/>
        <w:spacing w:before="20" w:after="40"/>
      </w:pPr>
      <w:r>
        <w:rPr>
          <w:rFonts w:ascii="Calibri" w:hAnsi="Calibri"/>
          <w:b/>
          <w:color w:val="212529"/>
          <w:sz w:val="22"/>
        </w:rPr>
        <w:t>Art. 15 (Statutory Deduplication)</w:t>
      </w:r>
      <w:r>
        <w:rPr>
          <w:rFonts w:ascii="Calibri" w:hAnsi="Calibri"/>
          <w:color w:val="212529"/>
          <w:sz w:val="22"/>
        </w:rPr>
        <w:t>: Permits computation of preserved APP areas within the total Legal Reserve (</w:t>
      </w:r>
      <w:r>
        <w:rPr>
          <w:rFonts w:ascii="Calibri" w:hAnsi="Calibri"/>
          <w:i/>
          <w:color w:val="212529"/>
          <w:sz w:val="22"/>
        </w:rPr>
        <w:t>Reserva Legal - RL</w:t>
      </w:r>
      <w:r>
        <w:rPr>
          <w:rFonts w:ascii="Calibri" w:hAnsi="Calibri"/>
          <w:color w:val="212529"/>
          <w:sz w:val="22"/>
        </w:rPr>
        <w:t>) percentage, preventing double-deduction penalties when calculating Net Plantable Area (</w:t>
      </w:r>
      <w:r>
        <w:rPr>
          <w:rFonts w:ascii="Calibri" w:hAnsi="Calibri"/>
          <w:i/>
          <w:color w:val="212529"/>
          <w:sz w:val="22"/>
        </w:rPr>
        <w:t>Área Útil Líquida</w:t>
      </w:r>
      <w:r>
        <w:rPr>
          <w:rFonts w:ascii="Calibri" w:hAnsi="Calibri"/>
          <w:color w:val="212529"/>
          <w:sz w:val="22"/>
        </w:rPr>
        <w:t>).</w:t>
      </w:r>
    </w:p>
    <w:p>
      <w:pPr>
        <w:spacing w:before="120" w:after="120"/>
        <w:pBdr>
          <w:bottom w:val="single" w:sz="8" w:space="1" w:color="D0D5DD"/>
        </w:pBdr>
      </w:pPr>
    </w:p>
    <w:p>
      <w:pPr>
        <w:spacing w:before="240" w:after="60"/>
      </w:pPr>
      <w:r>
        <w:rPr>
          <w:rFonts w:ascii="Calibri" w:hAnsi="Calibri"/>
          <w:b/>
          <w:color w:val="1C6EA4"/>
          <w:sz w:val="32"/>
        </w:rPr>
        <w:t>2. Prior-Art Landscape &amp; Freedom-to-Operate Clearance</w:t>
      </w:r>
    </w:p>
    <w:p>
      <w:pPr>
        <w:spacing w:before="40" w:after="80"/>
      </w:pPr>
      <w:r>
        <w:rPr>
          <w:rFonts w:ascii="Calibri" w:hAnsi="Calibri"/>
          <w:color w:val="212529"/>
          <w:sz w:val="22"/>
        </w:rPr>
        <w:t>A comprehensive prior-art search was conducted across international and Brazilian patent databases (INPI, USPTO, EPO, WIPO) and scientific indexing services (Google Scholar, ScienceDirect, IEEE Xplore). The nearest prior-art references are documented below, detailing their technical limitations and establishing Agrostech’s clear inventive demarcation.</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200" w:type="dxa"/>
              <w:right w:w="200" w:type="dxa"/>
            </w:tcMar>
          </w:tcPr>
          <w:p>
            <w:pPr>
              <w:spacing w:before="40" w:after="40"/>
            </w:pPr>
            <w:r>
              <w:rPr>
                <w:rFonts w:ascii="Consolas" w:hAnsi="Consolas"/>
                <w:color w:val="1E293B"/>
                <w:sz w:val="17"/>
              </w:rPr>
              <w:t>┌────────────────────────────────────────────────────────────────────────────────────────┐</w:t>
              <w:br/>
              <w:t>│                        PRIOR ART LANDSCAPE &amp; NOVELTY DEMARCATION                       │</w:t>
              <w:br/>
              <w:t>├────────────────────────────────────┬───────────────────────────────────────────────────┤</w:t>
              <w:br/>
              <w:t>│ PRIOR ART DOMAIN / CITATION        │ AGROSTECH DEFENSIVE NOVELTY MOAT                  │</w:t>
              <w:br/>
              <w:t>├────────────────────────────────────┼───────────────────────────────────────────────────┤</w:t>
              <w:br/>
              <w:t>│ DIRECTION 1: ÁREA CONTÍNUA         │                                                   │</w:t>
              <w:br/>
              <w:t>│ • Waldner &amp; Diakogiannis (2020)    │ Multi-Modal Cross-Cadastral Synchrony Fusion:     │</w:t>
              <w:br/>
              <w:t>│ • Yan &amp; Roy (2016)                 │ • InSAR Coherence + Dual-Pol SAR penetration.     │</w:t>
              <w:br/>
              <w:t>│ • U.S. Patent 10,015,359 B2 (Bayer)│ • Circular crop row statistics (Radon / mod π).   │</w:t>
              <w:br/>
              <w:t>│ • SICAR / CAR single-clip baseline │ • Calibrated Bayesian continuous-operation score. │</w:t>
              <w:br/>
              <w:t>├────────────────────────────────────┼───────────────────────────────────────────────────┤</w:t>
              <w:br/>
              <w:t>│ DIRECTION 2: VoI DRONE TRIGGER     │                                                   │</w:t>
              <w:br/>
              <w:t>│ • Macauley (2006) / Pearl (2024)   │ Real-Time Decision-Theoretic Flight Engine:       │</w:t>
              <w:br/>
              <w:t>│ • Kemna et al. (2017) / Tokekar    │ • Closed-loop Expected Value of Information (EVoI)│</w:t>
              <w:br/>
              <w:t>│ • U.S. Patent 11,288,963 (Sentera) │ • Numerical weather cloud forecast probability.   │</w:t>
              <w:br/>
              <w:t>│ • U.S. Patent 10,488,867 (Prec.Hawk│ • Phenological mitigability + credit exposure.    │</w:t>
              <w:br/>
              <w:t>├────────────────────────────────────┼───────────────────────────────────────────────────┤</w:t>
              <w:br/>
              <w:t>│ DIRECTION 3: PROBABILISTIC DTM     │                                                   │</w:t>
              <w:br/>
              <w:t>│ • Wechsler &amp; Kroll (2006)          │ Distributed Hydrological Monte Carlo Perturbation:│</w:t>
              <w:br/>
              <w:t>│ • Heuvelink (1998) GIS Error Prop. │ • Spatially correlated GRF (spectral FFT filter). │</w:t>
              <w:br/>
              <w:t>│ • U.S. Patent 9,679,077 (Climate)  │ • Canopy &amp; slope conditioned vertical noise σ_z.  │</w:t>
              <w:br/>
              <w:t>│ • U.S. Patent 8,949,091 (Trimble)  │ • Stochastic terrace overtopping &amp; breach failure.│</w:t>
              <w:br/>
              <w:t>└────────────────────────────────────┴───────────────────────────────────────────────────┘</w:t>
            </w:r>
          </w:p>
        </w:tc>
      </w:tr>
    </w:tbl>
    <w:p>
      <w:pPr>
        <w:spacing w:after="80"/>
      </w:pPr>
    </w:p>
    <w:p>
      <w:pPr>
        <w:spacing w:before="120" w:after="120"/>
        <w:pBdr>
          <w:bottom w:val="single" w:sz="8" w:space="1" w:color="D0D5DD"/>
        </w:pBdr>
      </w:pPr>
    </w:p>
    <w:p>
      <w:pPr>
        <w:spacing w:before="200" w:after="40"/>
      </w:pPr>
      <w:r>
        <w:rPr>
          <w:rFonts w:ascii="Calibri" w:hAnsi="Calibri"/>
          <w:b/>
          <w:color w:val="102C57"/>
          <w:sz w:val="26"/>
        </w:rPr>
        <w:t>2.1 Direction 1: Área Contínua &amp; Cross-Boundary Management Detection</w:t>
      </w:r>
    </w:p>
    <w:p>
      <w:pPr>
        <w:spacing w:before="160" w:after="40"/>
      </w:pPr>
      <w:r>
        <w:rPr>
          <w:rFonts w:ascii="Calibri" w:hAnsi="Calibri"/>
          <w:b/>
          <w:color w:val="1C6EA4"/>
          <w:sz w:val="22"/>
        </w:rPr>
        <w:t>Prior-Art Citation 1.1: Academic Boundary Segmentation</w:t>
      </w:r>
    </w:p>
    <w:p>
      <w:pPr>
        <w:pStyle w:val="ListBullet"/>
        <w:spacing w:before="20" w:after="40"/>
      </w:pPr>
      <w:r>
        <w:rPr>
          <w:rFonts w:ascii="Calibri" w:hAnsi="Calibri"/>
          <w:b/>
          <w:color w:val="212529"/>
          <w:sz w:val="22"/>
        </w:rPr>
        <w:t>Citation</w:t>
      </w:r>
      <w:r>
        <w:rPr>
          <w:rFonts w:ascii="Calibri" w:hAnsi="Calibri"/>
          <w:color w:val="212529"/>
          <w:sz w:val="22"/>
        </w:rPr>
        <w:t xml:space="preserve">: Waldner, F., &amp; Diakogiannis, F. I. (2020). "Deep learning on edge: Extracting field boundaries from satellite images with a convolutional neural network." </w:t>
      </w:r>
      <w:r>
        <w:rPr>
          <w:rFonts w:ascii="Calibri" w:hAnsi="Calibri"/>
          <w:i/>
          <w:color w:val="212529"/>
          <w:sz w:val="22"/>
        </w:rPr>
        <w:t>Remote Sensing of Environment</w:t>
      </w:r>
      <w:r>
        <w:rPr>
          <w:rFonts w:ascii="Calibri" w:hAnsi="Calibri"/>
          <w:color w:val="212529"/>
          <w:sz w:val="22"/>
        </w:rPr>
        <w:t>, 245, 111741. DOI: [10.1016/j.rse.2020.111741](https://doi.org/10.1016/j.rse.2020.111741).</w:t>
      </w:r>
    </w:p>
    <w:p>
      <w:pPr>
        <w:pStyle w:val="ListBullet"/>
        <w:spacing w:before="20" w:after="40"/>
      </w:pPr>
      <w:r>
        <w:rPr>
          <w:rFonts w:ascii="Calibri" w:hAnsi="Calibri"/>
          <w:b/>
          <w:color w:val="212529"/>
          <w:sz w:val="22"/>
        </w:rPr>
        <w:t>Methodology Summary</w:t>
      </w:r>
      <w:r>
        <w:rPr>
          <w:rFonts w:ascii="Calibri" w:hAnsi="Calibri"/>
          <w:color w:val="212529"/>
          <w:sz w:val="22"/>
        </w:rPr>
        <w:t>: Utilizes a deep convolutional neural network architecture (ResUNet-a) trained on high-resolution optical satellite imagery (Sentinel-2 and PlanetScope) to predict three output surfaces: field interior extent, boundary lines, and distance-to-boundary rasters. Contours are vectorized via post-processing watershed segmentation.</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Optical Cloud Blindness</w:t>
      </w:r>
      <w:r>
        <w:rPr>
          <w:rFonts w:ascii="Calibri" w:hAnsi="Calibri"/>
          <w:color w:val="212529"/>
          <w:sz w:val="22"/>
        </w:rPr>
        <w:t>: Relies exclusively on optical spectral bands (RGB, NIR), suffering total occlusion across the Brazilian Cerrado throughout the critical December–February planting and vegetative window.</w:t>
      </w:r>
    </w:p>
    <w:p>
      <w:pPr>
        <w:pStyle w:val="ListNumber"/>
        <w:spacing w:before="20" w:after="40"/>
      </w:pPr>
      <w:r>
        <w:rPr>
          <w:rFonts w:ascii="Calibri" w:hAnsi="Calibri"/>
          <w:i/>
          <w:color w:val="212529"/>
          <w:sz w:val="22"/>
        </w:rPr>
        <w:t>Agnostic to Legal Cadastres</w:t>
      </w:r>
      <w:r>
        <w:rPr>
          <w:rFonts w:ascii="Calibri" w:hAnsi="Calibri"/>
          <w:color w:val="212529"/>
          <w:sz w:val="22"/>
        </w:rPr>
        <w:t>: Operates purely on visual radiometric contrast (visible hedge lines, roads, tree borders). It has no awareness of cadastral property polygons (CAR/SIGEF/INCRA) or taxpayer identifiers (CPF/CNPJ).</w:t>
      </w:r>
    </w:p>
    <w:p>
      <w:pPr>
        <w:pStyle w:val="ListNumber"/>
        <w:spacing w:before="20" w:after="40"/>
      </w:pPr>
      <w:r>
        <w:rPr>
          <w:rFonts w:ascii="Calibri" w:hAnsi="Calibri"/>
          <w:i/>
          <w:color w:val="212529"/>
          <w:sz w:val="22"/>
        </w:rPr>
        <w:t>Inability to Detect Fraudulent Consolidation</w:t>
      </w:r>
      <w:r>
        <w:rPr>
          <w:rFonts w:ascii="Calibri" w:hAnsi="Calibri"/>
          <w:color w:val="212529"/>
          <w:sz w:val="22"/>
        </w:rPr>
        <w:t>: Cannot determine whether two visually distinct fields are operated by the same producer, nor whether two contiguous registered parcels represent collusive parcel fragmentation designed to evade CMN Res. 5.267.</w:t>
      </w:r>
    </w:p>
    <w:p>
      <w:pPr>
        <w:spacing w:before="160" w:after="40"/>
      </w:pPr>
      <w:r>
        <w:rPr>
          <w:rFonts w:ascii="Calibri" w:hAnsi="Calibri"/>
          <w:b/>
          <w:color w:val="1C6EA4"/>
          <w:sz w:val="22"/>
        </w:rPr>
        <w:t>Prior-Art Citation 1.2: Multi-Temporal Agricultural Delineation</w:t>
      </w:r>
    </w:p>
    <w:p>
      <w:pPr>
        <w:pStyle w:val="ListBullet"/>
        <w:spacing w:before="20" w:after="40"/>
      </w:pPr>
      <w:r>
        <w:rPr>
          <w:rFonts w:ascii="Calibri" w:hAnsi="Calibri"/>
          <w:b/>
          <w:color w:val="212529"/>
          <w:sz w:val="22"/>
        </w:rPr>
        <w:t>Citation</w:t>
      </w:r>
      <w:r>
        <w:rPr>
          <w:rFonts w:ascii="Calibri" w:hAnsi="Calibri"/>
          <w:color w:val="212529"/>
          <w:sz w:val="22"/>
        </w:rPr>
        <w:t xml:space="preserve">: Yan, L., &amp; Roy, D. P. (2016). "Conterminous United States crop field delineation from Landsat time series to support Web Enabled Landsat Data (WELD) agricultural products." </w:t>
      </w:r>
      <w:r>
        <w:rPr>
          <w:rFonts w:ascii="Calibri" w:hAnsi="Calibri"/>
          <w:i/>
          <w:color w:val="212529"/>
          <w:sz w:val="22"/>
        </w:rPr>
        <w:t>Remote Sensing of Environment</w:t>
      </w:r>
      <w:r>
        <w:rPr>
          <w:rFonts w:ascii="Calibri" w:hAnsi="Calibri"/>
          <w:color w:val="212529"/>
          <w:sz w:val="22"/>
        </w:rPr>
        <w:t>, 177, 42-60. DOI: [10.1016/j.rse.2015.12.016](https://doi.org/10.1016/j.rse.2015.12.016).</w:t>
      </w:r>
    </w:p>
    <w:p>
      <w:pPr>
        <w:pStyle w:val="ListBullet"/>
        <w:spacing w:before="20" w:after="40"/>
      </w:pPr>
      <w:r>
        <w:rPr>
          <w:rFonts w:ascii="Calibri" w:hAnsi="Calibri"/>
          <w:b/>
          <w:color w:val="212529"/>
          <w:sz w:val="22"/>
        </w:rPr>
        <w:t>Methodology Summary</w:t>
      </w:r>
      <w:r>
        <w:rPr>
          <w:rFonts w:ascii="Calibri" w:hAnsi="Calibri"/>
          <w:color w:val="212529"/>
          <w:sz w:val="22"/>
        </w:rPr>
        <w:t>: Implements an automated gradient-based edge-detection algorithm over 30m Landsat NDVI temporal composites, tracking sudden spatial variations in phenological green-up to delineate crop parcels.</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Coarse Spatial Resolution</w:t>
      </w:r>
      <w:r>
        <w:rPr>
          <w:rFonts w:ascii="Calibri" w:hAnsi="Calibri"/>
          <w:color w:val="212529"/>
          <w:sz w:val="22"/>
        </w:rPr>
        <w:t>: 30m pixels cannot resolve boundary hedgerows, narrow farm tracks, or machine pass turns.</w:t>
      </w:r>
    </w:p>
    <w:p>
      <w:pPr>
        <w:pStyle w:val="ListNumber"/>
        <w:spacing w:before="20" w:after="40"/>
      </w:pPr>
      <w:r>
        <w:rPr>
          <w:rFonts w:ascii="Calibri" w:hAnsi="Calibri"/>
          <w:i/>
          <w:color w:val="212529"/>
          <w:sz w:val="22"/>
        </w:rPr>
        <w:t>Lack of Radar Coherence</w:t>
      </w:r>
      <w:r>
        <w:rPr>
          <w:rFonts w:ascii="Calibri" w:hAnsi="Calibri"/>
          <w:color w:val="212529"/>
          <w:sz w:val="22"/>
        </w:rPr>
        <w:t>: Completely lacks microwave Synthetic Aperture Radar (SAR) telemetry or interferometric coherence, rendering temporal composites highly noisy under persistent tropical cloud cover.</w:t>
      </w:r>
    </w:p>
    <w:p>
      <w:pPr>
        <w:pStyle w:val="ListNumber"/>
        <w:spacing w:before="20" w:after="40"/>
      </w:pPr>
      <w:r>
        <w:rPr>
          <w:rFonts w:ascii="Calibri" w:hAnsi="Calibri"/>
          <w:i/>
          <w:color w:val="212529"/>
          <w:sz w:val="22"/>
        </w:rPr>
        <w:t>Non-Actionable for Regulatory Credit</w:t>
      </w:r>
      <w:r>
        <w:rPr>
          <w:rFonts w:ascii="Calibri" w:hAnsi="Calibri"/>
          <w:color w:val="212529"/>
          <w:sz w:val="22"/>
        </w:rPr>
        <w:t>: Provides no framework for calculating cross-cadastral continuous management probabilities or identifying shared machinery operations across legal boundaries.</w:t>
      </w:r>
    </w:p>
    <w:p>
      <w:pPr>
        <w:spacing w:before="160" w:after="40"/>
      </w:pPr>
      <w:r>
        <w:rPr>
          <w:rFonts w:ascii="Calibri" w:hAnsi="Calibri"/>
          <w:b/>
          <w:color w:val="1C6EA4"/>
          <w:sz w:val="22"/>
        </w:rPr>
        <w:t>Prior-Art Citation 1.3: Digital Agronomy Boundary Management Patent</w:t>
      </w:r>
    </w:p>
    <w:p>
      <w:pPr>
        <w:pStyle w:val="ListBullet"/>
        <w:spacing w:before="20" w:after="40"/>
      </w:pPr>
      <w:r>
        <w:rPr>
          <w:rFonts w:ascii="Calibri" w:hAnsi="Calibri"/>
          <w:b/>
          <w:color w:val="212529"/>
          <w:sz w:val="22"/>
        </w:rPr>
        <w:t>Citation</w:t>
      </w:r>
      <w:r>
        <w:rPr>
          <w:rFonts w:ascii="Calibri" w:hAnsi="Calibri"/>
          <w:color w:val="212529"/>
          <w:sz w:val="22"/>
        </w:rPr>
        <w:t>: U.S. Patent 10,015,359 B2. "Image-based field boundary detection and identification." Assigned to The Climate Corporation (Bayer Crop Science). Inventors: E. E. Eichelberger, D. R. Ethington, et al. Granted: July 3, 2018.</w:t>
      </w:r>
    </w:p>
    <w:p>
      <w:pPr>
        <w:pStyle w:val="ListBullet"/>
        <w:spacing w:before="20" w:after="40"/>
      </w:pPr>
      <w:r>
        <w:rPr>
          <w:rFonts w:ascii="Calibri" w:hAnsi="Calibri"/>
          <w:b/>
          <w:color w:val="212529"/>
          <w:sz w:val="22"/>
        </w:rPr>
        <w:t>Methodology Summary</w:t>
      </w:r>
      <w:r>
        <w:rPr>
          <w:rFonts w:ascii="Calibri" w:hAnsi="Calibri"/>
          <w:color w:val="212529"/>
          <w:sz w:val="22"/>
        </w:rPr>
        <w:t>: Discloses digital agronomy systems and methods for identifying agricultural field boundaries using aerial/satellite optical imagery, applying edge filtering algorithms, and presenting proposed boundary polygons in a graphical user interface for grower confirmation to configure farm management zones in digital platforms (Climate FieldView).</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Single-Farm Grower Onboarding Focus</w:t>
      </w:r>
      <w:r>
        <w:rPr>
          <w:rFonts w:ascii="Calibri" w:hAnsi="Calibri"/>
          <w:color w:val="212529"/>
          <w:sz w:val="22"/>
        </w:rPr>
        <w:t>: Assumes a cooperative grower onboarding their own farm to generate seeding and fertilizer prescription maps.</w:t>
      </w:r>
    </w:p>
    <w:p>
      <w:pPr>
        <w:pStyle w:val="ListNumber"/>
        <w:spacing w:before="20" w:after="40"/>
      </w:pPr>
      <w:r>
        <w:rPr>
          <w:rFonts w:ascii="Calibri" w:hAnsi="Calibri"/>
          <w:i/>
          <w:color w:val="212529"/>
          <w:sz w:val="22"/>
        </w:rPr>
        <w:t>Zero Adversarial or Fraud Capability</w:t>
      </w:r>
      <w:r>
        <w:rPr>
          <w:rFonts w:ascii="Calibri" w:hAnsi="Calibri"/>
          <w:color w:val="212529"/>
          <w:sz w:val="22"/>
        </w:rPr>
        <w:t>: Lacks any mechanism to detect adversarial parcel masking, cross-border asset laundering, or unauthorized operational expansion into embargoed neighboring land.</w:t>
      </w:r>
    </w:p>
    <w:p>
      <w:pPr>
        <w:pStyle w:val="ListNumber"/>
        <w:spacing w:before="20" w:after="40"/>
      </w:pPr>
      <w:r>
        <w:rPr>
          <w:rFonts w:ascii="Calibri" w:hAnsi="Calibri"/>
          <w:i/>
          <w:color w:val="212529"/>
          <w:sz w:val="22"/>
        </w:rPr>
        <w:t>No Cross-Cadastral Multi-Modal Fusion</w:t>
      </w:r>
      <w:r>
        <w:rPr>
          <w:rFonts w:ascii="Calibri" w:hAnsi="Calibri"/>
          <w:color w:val="212529"/>
          <w:sz w:val="22"/>
        </w:rPr>
        <w:t>: Contains no claims or teachings regarding the fusion of microwave SAR backscatter, repeat-pass InSAR coherence, circular crop-row axial statistics, and cadastral registry reconciliation to certify contiguous operational status under banking compliance norms.</w:t>
      </w:r>
    </w:p>
    <w:p>
      <w:pPr>
        <w:spacing w:before="160" w:after="40"/>
      </w:pPr>
      <w:r>
        <w:rPr>
          <w:rFonts w:ascii="Calibri" w:hAnsi="Calibri"/>
          <w:b/>
          <w:color w:val="1C6EA4"/>
          <w:sz w:val="22"/>
        </w:rPr>
        <w:t>Agrostech's Defensible Novelty &amp; Exact Boundary (Direction 1)</w:t>
      </w:r>
    </w:p>
    <w:p>
      <w:pPr>
        <w:pStyle w:val="ListBullet"/>
        <w:spacing w:before="20" w:after="40"/>
      </w:pPr>
      <w:r>
        <w:rPr>
          <w:rFonts w:ascii="Calibri" w:hAnsi="Calibri"/>
          <w:b/>
          <w:color w:val="212529"/>
          <w:sz w:val="22"/>
        </w:rPr>
        <w:t>The Commodity Boundary</w:t>
      </w:r>
      <w:r>
        <w:rPr>
          <w:rFonts w:ascii="Calibri" w:hAnsi="Calibri"/>
          <w:color w:val="212529"/>
          <w:sz w:val="22"/>
        </w:rPr>
        <w:t>: Automated edge detection and polygon vectorization within an isolated satellite scene or single cadastral boundary.</w:t>
      </w:r>
    </w:p>
    <w:p>
      <w:pPr>
        <w:pStyle w:val="ListBullet"/>
        <w:spacing w:before="20" w:after="40"/>
      </w:pPr>
      <w:r>
        <w:rPr>
          <w:rFonts w:ascii="Calibri" w:hAnsi="Calibri"/>
          <w:b/>
          <w:color w:val="212529"/>
          <w:sz w:val="22"/>
        </w:rPr>
        <w:t>Agrostech’s Inventive Core</w:t>
      </w:r>
      <w:r>
        <w:rPr>
          <w:rFonts w:ascii="Calibri" w:hAnsi="Calibri"/>
          <w:color w:val="212529"/>
          <w:sz w:val="22"/>
        </w:rPr>
        <w:t>: A multi-modal, cross-cadastral synchrony fusion engine that ingests two or more legally distinct, adjoining cadastral polygons ($\text{CAR}_A, \text{CAR}_B$) and generates a calibrated posterior probability of continuous operation:</w:t>
      </w:r>
    </w:p>
    <w:p>
      <w:pPr>
        <w:spacing w:before="40" w:after="80"/>
      </w:pPr>
      <w:r>
        <w:rPr>
          <w:rFonts w:ascii="Calibri" w:hAnsi="Calibri"/>
          <w:color w:val="212529"/>
          <w:sz w:val="22"/>
        </w:rPr>
        <w:t>$$P(\text{Continuous Operation} \mid A, B) = \sigma\left( \mathbf{w}^T \mathbf{x}_{AB} + b \right)$$</w:t>
      </w:r>
    </w:p>
    <w:p>
      <w:pPr>
        <w:spacing w:before="40" w:after="80"/>
      </w:pPr>
      <w:r>
        <w:rPr>
          <w:rFonts w:ascii="Calibri" w:hAnsi="Calibri"/>
          <w:color w:val="212529"/>
          <w:sz w:val="22"/>
        </w:rPr>
        <w:t>synthesized from five orthogonal, non-visual features:</w:t>
      </w:r>
    </w:p>
    <w:p>
      <w:pPr>
        <w:pStyle w:val="ListNumber"/>
        <w:spacing w:before="20" w:after="40"/>
      </w:pPr>
      <w:r>
        <w:rPr>
          <w:rFonts w:ascii="Calibri" w:hAnsi="Calibri"/>
          <w:i/>
          <w:color w:val="212529"/>
          <w:sz w:val="22"/>
        </w:rPr>
        <w:t>Boundary Permeability Score ($S_{\text{perm}}$)</w:t>
      </w:r>
      <w:r>
        <w:rPr>
          <w:rFonts w:ascii="Calibri" w:hAnsi="Calibri"/>
          <w:color w:val="212529"/>
          <w:sz w:val="22"/>
        </w:rPr>
        <w:t>: Ratio of boundary gradient contrast relative to internal baseline, evaluating fence/hedgerow structural existence.</w:t>
      </w:r>
    </w:p>
    <w:p>
      <w:pPr>
        <w:pStyle w:val="ListNumber"/>
        <w:spacing w:before="20" w:after="40"/>
      </w:pPr>
      <w:r>
        <w:rPr>
          <w:rFonts w:ascii="Calibri" w:hAnsi="Calibri"/>
          <w:i/>
          <w:color w:val="212529"/>
          <w:sz w:val="22"/>
        </w:rPr>
        <w:t>Phenological Dynamic Time Warping ($S_{\text{pheno}}$)</w:t>
      </w:r>
      <w:r>
        <w:rPr>
          <w:rFonts w:ascii="Calibri" w:hAnsi="Calibri"/>
          <w:color w:val="212529"/>
          <w:sz w:val="22"/>
        </w:rPr>
        <w:t>: Regularized S2/Planet NDVI curve cross-correlation and DTW distance within a Sakoe-Chiba window.</w:t>
      </w:r>
    </w:p>
    <w:p>
      <w:pPr>
        <w:pStyle w:val="ListNumber"/>
        <w:spacing w:before="20" w:after="40"/>
      </w:pPr>
      <w:r>
        <w:rPr>
          <w:rFonts w:ascii="Calibri" w:hAnsi="Calibri"/>
          <w:i/>
          <w:color w:val="212529"/>
          <w:sz w:val="22"/>
        </w:rPr>
        <w:t>Critical Agronomic Milestone Synchrony ($S_{\text{event}}$)</w:t>
      </w:r>
      <w:r>
        <w:rPr>
          <w:rFonts w:ascii="Calibri" w:hAnsi="Calibri"/>
          <w:color w:val="212529"/>
          <w:sz w:val="22"/>
        </w:rPr>
        <w:t>: Absolute temporal divergence in planting inflection dates ($\Delta t_{\text{plant}}$) and harvest desiccation drops ($\Delta t_{\text{harvest}}$).</w:t>
      </w:r>
    </w:p>
    <w:p>
      <w:pPr>
        <w:pStyle w:val="ListNumber"/>
        <w:spacing w:before="20" w:after="40"/>
      </w:pPr>
      <w:r>
        <w:rPr>
          <w:rFonts w:ascii="Calibri" w:hAnsi="Calibri"/>
          <w:i/>
          <w:color w:val="212529"/>
          <w:sz w:val="22"/>
        </w:rPr>
        <w:t>All-Weather SAR Backscatter &amp; InSAR Coherence Synchrony ($S_{\text{SAR}}$)</w:t>
      </w:r>
      <w:r>
        <w:rPr>
          <w:rFonts w:ascii="Calibri" w:hAnsi="Calibri"/>
          <w:color w:val="212529"/>
          <w:sz w:val="22"/>
        </w:rPr>
        <w:t>: Sentinel-1 / NISAR $\gamma^0_{VH}$ temporal curve correlation and repeat-pass interferometric phase coherence ($\gamma_{\text{InSAR}}$), providing complete cloud penetration during the rainy season.</w:t>
      </w:r>
    </w:p>
    <w:p>
      <w:pPr>
        <w:pStyle w:val="ListNumber"/>
        <w:spacing w:before="20" w:after="40"/>
      </w:pPr>
      <w:r>
        <w:rPr>
          <w:rFonts w:ascii="Calibri" w:hAnsi="Calibri"/>
          <w:i/>
          <w:color w:val="212529"/>
          <w:sz w:val="22"/>
        </w:rPr>
        <w:t>Circular Axial Statistics of Crop Row Azimuth ($S_{\text{azimuth}}$)</w:t>
      </w:r>
      <w:r>
        <w:rPr>
          <w:rFonts w:ascii="Calibri" w:hAnsi="Calibri"/>
          <w:color w:val="212529"/>
          <w:sz w:val="22"/>
        </w:rPr>
        <w:t>: Directional intensity gradient extraction mapped to circular axial distributions ($\theta \pmod \pi$) to verify continuous auto-steer tractor passes across the shared cadastral border.</w:t>
      </w:r>
    </w:p>
    <w:p>
      <w:pPr>
        <w:pStyle w:val="ListBullet"/>
        <w:spacing w:before="20" w:after="40"/>
      </w:pPr>
      <w:r>
        <w:rPr>
          <w:rFonts w:ascii="Calibri" w:hAnsi="Calibri"/>
          <w:b/>
          <w:color w:val="212529"/>
          <w:sz w:val="22"/>
        </w:rPr>
        <w:t>Commercial Impact</w:t>
      </w:r>
      <w:r>
        <w:rPr>
          <w:rFonts w:ascii="Calibri" w:hAnsi="Calibri"/>
          <w:color w:val="212529"/>
          <w:sz w:val="22"/>
        </w:rPr>
        <w:t>: Delivers the only legally defensible remote sensing audit engine capable of certifying compliance with CMN Resolução nº 5.267/2025, eliminating the "parcel masking" evasion loophole for loans $&gt; 300\text{ ha}$.</w:t>
      </w:r>
    </w:p>
    <w:p>
      <w:pPr>
        <w:spacing w:before="120" w:after="120"/>
        <w:pBdr>
          <w:bottom w:val="single" w:sz="8" w:space="1" w:color="D0D5DD"/>
        </w:pBdr>
      </w:pPr>
    </w:p>
    <w:p>
      <w:pPr>
        <w:spacing w:before="200" w:after="40"/>
      </w:pPr>
      <w:r>
        <w:rPr>
          <w:rFonts w:ascii="Calibri" w:hAnsi="Calibri"/>
          <w:b/>
          <w:color w:val="102C57"/>
          <w:sz w:val="26"/>
        </w:rPr>
        <w:t>2.2 Direction 2: Value-of-Information (VoI) Remote Sensing / UAV Trigger Systems</w:t>
      </w:r>
    </w:p>
    <w:p>
      <w:pPr>
        <w:spacing w:before="160" w:after="40"/>
      </w:pPr>
      <w:r>
        <w:rPr>
          <w:rFonts w:ascii="Calibri" w:hAnsi="Calibri"/>
          <w:b/>
          <w:color w:val="1C6EA4"/>
          <w:sz w:val="22"/>
        </w:rPr>
        <w:t>Prior-Art Citation 2.1: Macroeconomic Value of Information Literature</w:t>
      </w:r>
    </w:p>
    <w:p>
      <w:pPr>
        <w:pStyle w:val="ListBullet"/>
        <w:spacing w:before="20" w:after="40"/>
      </w:pPr>
      <w:r>
        <w:rPr>
          <w:rFonts w:ascii="Calibri" w:hAnsi="Calibri"/>
          <w:b/>
          <w:color w:val="212529"/>
          <w:sz w:val="22"/>
        </w:rPr>
        <w:t>Citation</w:t>
      </w:r>
      <w:r>
        <w:rPr>
          <w:rFonts w:ascii="Calibri" w:hAnsi="Calibri"/>
          <w:color w:val="212529"/>
          <w:sz w:val="22"/>
        </w:rPr>
        <w:t xml:space="preserve">: Macauley, M. K. (2006). "The value of information: A methodology for determining the value of Earth science information." </w:t>
      </w:r>
      <w:r>
        <w:rPr>
          <w:rFonts w:ascii="Calibri" w:hAnsi="Calibri"/>
          <w:i/>
          <w:color w:val="212529"/>
          <w:sz w:val="22"/>
        </w:rPr>
        <w:t>Space Policy</w:t>
      </w:r>
      <w:r>
        <w:rPr>
          <w:rFonts w:ascii="Calibri" w:hAnsi="Calibri"/>
          <w:color w:val="212529"/>
          <w:sz w:val="22"/>
        </w:rPr>
        <w:t xml:space="preserve">, 22(4), 274-282. DOI: [10.1016/j.spacepol.2006.08.006](https://doi.org/10.1016/j.spacepol.2006.08.006); and Pearl, C. O., et al. (2024). "Quantifying the economic value of Earth observation data." </w:t>
      </w:r>
      <w:r>
        <w:rPr>
          <w:rFonts w:ascii="Calibri" w:hAnsi="Calibri"/>
          <w:i/>
          <w:color w:val="212529"/>
          <w:sz w:val="22"/>
        </w:rPr>
        <w:t>Proceedings of the National Academy of Sciences (PNAS)</w:t>
      </w:r>
      <w:r>
        <w:rPr>
          <w:rFonts w:ascii="Calibri" w:hAnsi="Calibri"/>
          <w:color w:val="212529"/>
          <w:sz w:val="22"/>
        </w:rPr>
        <w:t>, 121(15), e2308945121.</w:t>
      </w:r>
    </w:p>
    <w:p>
      <w:pPr>
        <w:pStyle w:val="ListBullet"/>
        <w:spacing w:before="20" w:after="40"/>
      </w:pPr>
      <w:r>
        <w:rPr>
          <w:rFonts w:ascii="Calibri" w:hAnsi="Calibri"/>
          <w:b/>
          <w:color w:val="212529"/>
          <w:sz w:val="22"/>
        </w:rPr>
        <w:t>Methodology Summary</w:t>
      </w:r>
      <w:r>
        <w:rPr>
          <w:rFonts w:ascii="Calibri" w:hAnsi="Calibri"/>
          <w:color w:val="212529"/>
          <w:sz w:val="22"/>
        </w:rPr>
        <w:t>: Establishes macroeconomic Bayesian decision models to retrospectively calculate the societal welfare surplus generated by public Earth observation constellations (Landsat, MODIS, GRACE) in regional water resource allocation, wildland fire management, and macroeconomic policy.</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Retrospective &amp; Macroeconomic</w:t>
      </w:r>
      <w:r>
        <w:rPr>
          <w:rFonts w:ascii="Calibri" w:hAnsi="Calibri"/>
          <w:color w:val="212529"/>
          <w:sz w:val="22"/>
        </w:rPr>
        <w:t>: Purely theoretical, macroeconomic, and applied post-facto to evaluate government space budgets.</w:t>
      </w:r>
    </w:p>
    <w:p>
      <w:pPr>
        <w:pStyle w:val="ListNumber"/>
        <w:spacing w:before="20" w:after="40"/>
      </w:pPr>
      <w:r>
        <w:rPr>
          <w:rFonts w:ascii="Calibri" w:hAnsi="Calibri"/>
          <w:i/>
          <w:color w:val="212529"/>
          <w:sz w:val="22"/>
        </w:rPr>
        <w:t>Non-Operational for Dynamic Edge Dispatch</w:t>
      </w:r>
      <w:r>
        <w:rPr>
          <w:rFonts w:ascii="Calibri" w:hAnsi="Calibri"/>
          <w:color w:val="212529"/>
          <w:sz w:val="22"/>
        </w:rPr>
        <w:t>: Provides no algorithmic mechanism to execute real-time, daily dispatch commands to autonomous drone docks, commercial UAV pilots, or high-resolution satellite tasking constellations.</w:t>
      </w:r>
    </w:p>
    <w:p>
      <w:pPr>
        <w:pStyle w:val="ListNumber"/>
        <w:spacing w:before="20" w:after="40"/>
      </w:pPr>
      <w:r>
        <w:rPr>
          <w:rFonts w:ascii="Calibri" w:hAnsi="Calibri"/>
          <w:i/>
          <w:color w:val="212529"/>
          <w:sz w:val="22"/>
        </w:rPr>
        <w:t>Agnostic to Credit Risk &amp; Weather Dynamics</w:t>
      </w:r>
      <w:r>
        <w:rPr>
          <w:rFonts w:ascii="Calibri" w:hAnsi="Calibri"/>
          <w:color w:val="212529"/>
          <w:sz w:val="22"/>
        </w:rPr>
        <w:t>: Omits micro-level financial credit exposure ($E_{\text{credit}}$), legal collateral recovery rates, and predictive cloud probability forecasts.</w:t>
      </w:r>
    </w:p>
    <w:p>
      <w:pPr>
        <w:spacing w:before="160" w:after="40"/>
      </w:pPr>
      <w:r>
        <w:rPr>
          <w:rFonts w:ascii="Calibri" w:hAnsi="Calibri"/>
          <w:b/>
          <w:color w:val="1C6EA4"/>
          <w:sz w:val="22"/>
        </w:rPr>
        <w:t>Prior-Art Citation 2.2: Robotic Informative Path Planning</w:t>
      </w:r>
    </w:p>
    <w:p>
      <w:pPr>
        <w:pStyle w:val="ListBullet"/>
        <w:spacing w:before="20" w:after="40"/>
      </w:pPr>
      <w:r>
        <w:rPr>
          <w:rFonts w:ascii="Calibri" w:hAnsi="Calibri"/>
          <w:b/>
          <w:color w:val="212529"/>
          <w:sz w:val="22"/>
        </w:rPr>
        <w:t>Citation</w:t>
      </w:r>
      <w:r>
        <w:rPr>
          <w:rFonts w:ascii="Calibri" w:hAnsi="Calibri"/>
          <w:color w:val="212529"/>
          <w:sz w:val="22"/>
        </w:rPr>
        <w:t xml:space="preserve">: Kemna, S., et al. (2017). "Adaptive informative path planning for multi-rotor UAVs to search for localized environmental phenomena." </w:t>
      </w:r>
      <w:r>
        <w:rPr>
          <w:rFonts w:ascii="Calibri" w:hAnsi="Calibri"/>
          <w:i/>
          <w:color w:val="212529"/>
          <w:sz w:val="22"/>
        </w:rPr>
        <w:t>IEEE International Conference on Robotics and Automation (ICRA)</w:t>
      </w:r>
      <w:r>
        <w:rPr>
          <w:rFonts w:ascii="Calibri" w:hAnsi="Calibri"/>
          <w:color w:val="212529"/>
          <w:sz w:val="22"/>
        </w:rPr>
        <w:t xml:space="preserve">, pp. 2482-2489; and Tokekar, P., et al. (2016). "Sensor Planning for Agricultural Applications." </w:t>
      </w:r>
      <w:r>
        <w:rPr>
          <w:rFonts w:ascii="Calibri" w:hAnsi="Calibri"/>
          <w:i/>
          <w:color w:val="212529"/>
          <w:sz w:val="22"/>
        </w:rPr>
        <w:t>Journal of Field Robotics</w:t>
      </w:r>
      <w:r>
        <w:rPr>
          <w:rFonts w:ascii="Calibri" w:hAnsi="Calibri"/>
          <w:color w:val="212529"/>
          <w:sz w:val="22"/>
        </w:rPr>
        <w:t>, 33(7), 897-912.</w:t>
      </w:r>
    </w:p>
    <w:p>
      <w:pPr>
        <w:pStyle w:val="ListBullet"/>
        <w:spacing w:before="20" w:after="40"/>
      </w:pPr>
      <w:r>
        <w:rPr>
          <w:rFonts w:ascii="Calibri" w:hAnsi="Calibri"/>
          <w:b/>
          <w:color w:val="212529"/>
          <w:sz w:val="22"/>
        </w:rPr>
        <w:t>Methodology Summary</w:t>
      </w:r>
      <w:r>
        <w:rPr>
          <w:rFonts w:ascii="Calibri" w:hAnsi="Calibri"/>
          <w:color w:val="212529"/>
          <w:sz w:val="22"/>
        </w:rPr>
        <w:t>: Formulates spatial path-planning algorithms using Gaussian Process (GP) regression and mutual information optimization to plan flight paths for unmanned aerial vehicles over an agricultural field, directing the robot toward spatial zones of maximum predictive variance.</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Trajectory Optimization vs. Dispatch Decision</w:t>
      </w:r>
      <w:r>
        <w:rPr>
          <w:rFonts w:ascii="Calibri" w:hAnsi="Calibri"/>
          <w:color w:val="212529"/>
          <w:sz w:val="22"/>
        </w:rPr>
        <w:t xml:space="preserve">: Solves </w:t>
      </w:r>
      <w:r>
        <w:rPr>
          <w:rFonts w:ascii="Calibri" w:hAnsi="Calibri"/>
          <w:i/>
          <w:color w:val="212529"/>
          <w:sz w:val="22"/>
        </w:rPr>
        <w:t>where the drone should fly after it is already airborne over a field</w:t>
      </w:r>
      <w:r>
        <w:rPr>
          <w:rFonts w:ascii="Calibri" w:hAnsi="Calibri"/>
          <w:color w:val="212529"/>
          <w:sz w:val="22"/>
        </w:rPr>
        <w:t xml:space="preserve">. It completely ignores the prior economic decision of </w:t>
      </w:r>
      <w:r>
        <w:rPr>
          <w:rFonts w:ascii="Calibri" w:hAnsi="Calibri"/>
          <w:i/>
          <w:color w:val="212529"/>
          <w:sz w:val="22"/>
        </w:rPr>
        <w:t>whether to fly the drone at all</w:t>
      </w:r>
      <w:r>
        <w:rPr>
          <w:rFonts w:ascii="Calibri" w:hAnsi="Calibri"/>
          <w:color w:val="212529"/>
          <w:sz w:val="22"/>
        </w:rPr>
        <w:t xml:space="preserve"> relative to commercial flight costs.</w:t>
      </w:r>
    </w:p>
    <w:p>
      <w:pPr>
        <w:pStyle w:val="ListNumber"/>
        <w:spacing w:before="20" w:after="40"/>
      </w:pPr>
      <w:r>
        <w:rPr>
          <w:rFonts w:ascii="Calibri" w:hAnsi="Calibri"/>
          <w:i/>
          <w:color w:val="212529"/>
          <w:sz w:val="22"/>
        </w:rPr>
        <w:t>Ignores Opportunity Cost of Free Satellite Telemetry</w:t>
      </w:r>
      <w:r>
        <w:rPr>
          <w:rFonts w:ascii="Calibri" w:hAnsi="Calibri"/>
          <w:color w:val="212529"/>
          <w:sz w:val="22"/>
        </w:rPr>
        <w:t>: Does not factor in the arrival schedule of free orbital passes (Sentinel-2, Landsat) or numerical weather forecast cloud coverage.</w:t>
      </w:r>
    </w:p>
    <w:p>
      <w:pPr>
        <w:pStyle w:val="ListNumber"/>
        <w:spacing w:before="20" w:after="40"/>
      </w:pPr>
      <w:r>
        <w:rPr>
          <w:rFonts w:ascii="Calibri" w:hAnsi="Calibri"/>
          <w:i/>
          <w:color w:val="212529"/>
          <w:sz w:val="22"/>
        </w:rPr>
        <w:t>Uncoupled from Financial Risk</w:t>
      </w:r>
      <w:r>
        <w:rPr>
          <w:rFonts w:ascii="Calibri" w:hAnsi="Calibri"/>
          <w:color w:val="212529"/>
          <w:sz w:val="22"/>
        </w:rPr>
        <w:t>: Maximizes statistical information entropy without grounding in monetary debt impairment, default probability deltas, or agronomic treatment windows.</w:t>
      </w:r>
    </w:p>
    <w:p>
      <w:pPr>
        <w:spacing w:before="160" w:after="40"/>
      </w:pPr>
      <w:r>
        <w:rPr>
          <w:rFonts w:ascii="Calibri" w:hAnsi="Calibri"/>
          <w:b/>
          <w:color w:val="1C6EA4"/>
          <w:sz w:val="22"/>
        </w:rPr>
        <w:t>Prior-Art Citation 2.3: Threshold-Based Drone Tasking Patent</w:t>
      </w:r>
    </w:p>
    <w:p>
      <w:pPr>
        <w:pStyle w:val="ListBullet"/>
        <w:spacing w:before="20" w:after="40"/>
      </w:pPr>
      <w:r>
        <w:rPr>
          <w:rFonts w:ascii="Calibri" w:hAnsi="Calibri"/>
          <w:b/>
          <w:color w:val="212529"/>
          <w:sz w:val="22"/>
        </w:rPr>
        <w:t>Citation</w:t>
      </w:r>
      <w:r>
        <w:rPr>
          <w:rFonts w:ascii="Calibri" w:hAnsi="Calibri"/>
          <w:color w:val="212529"/>
          <w:sz w:val="22"/>
        </w:rPr>
        <w:t>: U.S. Patent 11,288,963 B2. "Automated drone flight tasking based on satellite imagery anomaly detection." Assigned to Sentera, Inc. Inventors: M. B. Eide, et al. Granted: March 29, 2022.</w:t>
      </w:r>
    </w:p>
    <w:p>
      <w:pPr>
        <w:pStyle w:val="ListBullet"/>
        <w:spacing w:before="20" w:after="40"/>
      </w:pPr>
      <w:r>
        <w:rPr>
          <w:rFonts w:ascii="Calibri" w:hAnsi="Calibri"/>
          <w:b/>
          <w:color w:val="212529"/>
          <w:sz w:val="22"/>
        </w:rPr>
        <w:t>Methodology Summary</w:t>
      </w:r>
      <w:r>
        <w:rPr>
          <w:rFonts w:ascii="Calibri" w:hAnsi="Calibri"/>
          <w:color w:val="212529"/>
          <w:sz w:val="22"/>
        </w:rPr>
        <w:t>: Discloses a system that receives satellite imagery of an agricultural field, computes a vegetation index (such as NDVI), compares the index against a static predetermined threshold value, and automatically transmits a flight plan to an autonomous drone if the index drops below the threshold.</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Heuristic &amp; Deterministic</w:t>
      </w:r>
      <w:r>
        <w:rPr>
          <w:rFonts w:ascii="Calibri" w:hAnsi="Calibri"/>
          <w:color w:val="212529"/>
          <w:sz w:val="22"/>
        </w:rPr>
        <w:t>: Relies on static, arbitrary threshold breaches ($\text{NDVI} &lt; \tau$). It possesses no decision-theoretic or economic loss framework.</w:t>
      </w:r>
    </w:p>
    <w:p>
      <w:pPr>
        <w:pStyle w:val="ListNumber"/>
        <w:spacing w:before="20" w:after="40"/>
      </w:pPr>
      <w:r>
        <w:rPr>
          <w:rFonts w:ascii="Calibri" w:hAnsi="Calibri"/>
          <w:i/>
          <w:color w:val="212529"/>
          <w:sz w:val="22"/>
        </w:rPr>
        <w:t>Severe False Dispatch Escalation</w:t>
      </w:r>
      <w:r>
        <w:rPr>
          <w:rFonts w:ascii="Calibri" w:hAnsi="Calibri"/>
          <w:color w:val="212529"/>
          <w:sz w:val="22"/>
        </w:rPr>
        <w:t>: Triggers expensive drone mobilization even when a cloud shadow or transient soil wetting event creates a temporary NDVI dip.</w:t>
      </w:r>
    </w:p>
    <w:p>
      <w:pPr>
        <w:pStyle w:val="ListNumber"/>
        <w:spacing w:before="20" w:after="40"/>
      </w:pPr>
      <w:r>
        <w:rPr>
          <w:rFonts w:ascii="Calibri" w:hAnsi="Calibri"/>
          <w:i/>
          <w:color w:val="212529"/>
          <w:sz w:val="22"/>
        </w:rPr>
        <w:t>Economically Blind</w:t>
      </w:r>
      <w:r>
        <w:rPr>
          <w:rFonts w:ascii="Calibri" w:hAnsi="Calibri"/>
          <w:color w:val="212529"/>
          <w:sz w:val="22"/>
        </w:rPr>
        <w:t>: Dispatches flights regardless of whether a free optical satellite pass is scheduled 24 hours later under clear skies, regardless of the loan balance at risk, and regardless of whether the crop is in a non-vulnerable or un-treatable growth stage.</w:t>
      </w:r>
    </w:p>
    <w:p>
      <w:pPr>
        <w:spacing w:before="160" w:after="40"/>
      </w:pPr>
      <w:r>
        <w:rPr>
          <w:rFonts w:ascii="Calibri" w:hAnsi="Calibri"/>
          <w:b/>
          <w:color w:val="1C6EA4"/>
          <w:sz w:val="22"/>
        </w:rPr>
        <w:t>Agrostech's Defensible Novelty &amp; Exact Boundary (Direction 2)</w:t>
      </w:r>
    </w:p>
    <w:p>
      <w:pPr>
        <w:pStyle w:val="ListBullet"/>
        <w:spacing w:before="20" w:after="40"/>
      </w:pPr>
      <w:r>
        <w:rPr>
          <w:rFonts w:ascii="Calibri" w:hAnsi="Calibri"/>
          <w:b/>
          <w:color w:val="212529"/>
          <w:sz w:val="22"/>
        </w:rPr>
        <w:t>The Commodity Boundary</w:t>
      </w:r>
      <w:r>
        <w:rPr>
          <w:rFonts w:ascii="Calibri" w:hAnsi="Calibri"/>
          <w:color w:val="212529"/>
          <w:sz w:val="22"/>
        </w:rPr>
        <w:t>: Static calendar flight scheduling (e.g. routine bi-weekly flights) or reactive threshold triggers ($\text{NDVI} &lt; \tau \implies \text{fly}$).</w:t>
      </w:r>
    </w:p>
    <w:p>
      <w:pPr>
        <w:pStyle w:val="ListBullet"/>
        <w:spacing w:before="20" w:after="40"/>
      </w:pPr>
      <w:r>
        <w:rPr>
          <w:rFonts w:ascii="Calibri" w:hAnsi="Calibri"/>
          <w:b/>
          <w:color w:val="212529"/>
          <w:sz w:val="22"/>
        </w:rPr>
        <w:t>Agrostech’s Inventive Core</w:t>
      </w:r>
      <w:r>
        <w:rPr>
          <w:rFonts w:ascii="Calibri" w:hAnsi="Calibri"/>
          <w:color w:val="212529"/>
          <w:sz w:val="22"/>
        </w:rPr>
        <w:t>: A closed-loop, decision-theoretic dispatch optimization engine that models UAV deployment as an optimal stopping problem under uncertainty:</w:t>
      </w:r>
    </w:p>
    <w:p>
      <w:pPr>
        <w:spacing w:before="40" w:after="80"/>
      </w:pPr>
      <w:r>
        <w:rPr>
          <w:rFonts w:ascii="Calibri" w:hAnsi="Calibri"/>
          <w:color w:val="212529"/>
          <w:sz w:val="22"/>
        </w:rPr>
        <w:t>$$\text{NVoI}(t) = \text{GVoI}(t) - C_{\text{flight}} = \left( \rho^</w:t>
      </w:r>
      <w:r>
        <w:rPr>
          <w:rFonts w:ascii="Calibri" w:hAnsi="Calibri"/>
          <w:i/>
          <w:color w:val="212529"/>
          <w:sz w:val="22"/>
        </w:rPr>
        <w:t>(\mathbf{b}_t) - \mathbb{E}_Z \left[ \rho^</w:t>
      </w:r>
      <w:r>
        <w:rPr>
          <w:rFonts w:ascii="Calibri" w:hAnsi="Calibri"/>
          <w:color w:val="212529"/>
          <w:sz w:val="22"/>
        </w:rPr>
        <w:t>(\mathbf{b}_{t \mid Z}) \right] \right) - C_{\text{flight}}$$</w:t>
      </w:r>
    </w:p>
    <w:p>
      <w:pPr>
        <w:spacing w:before="40" w:after="80"/>
      </w:pPr>
      <w:r>
        <w:rPr>
          <w:rFonts w:ascii="Calibri" w:hAnsi="Calibri"/>
          <w:color w:val="212529"/>
          <w:sz w:val="22"/>
        </w:rPr>
        <w:t>integrating:</w:t>
      </w:r>
    </w:p>
    <w:p>
      <w:pPr>
        <w:pStyle w:val="ListNumber"/>
        <w:spacing w:before="20" w:after="40"/>
      </w:pPr>
      <w:r>
        <w:rPr>
          <w:rFonts w:ascii="Calibri" w:hAnsi="Calibri"/>
          <w:i/>
          <w:color w:val="212529"/>
          <w:sz w:val="22"/>
        </w:rPr>
        <w:t>Latent Risk &amp; State Space ($\Theta$)</w:t>
      </w:r>
      <w:r>
        <w:rPr>
          <w:rFonts w:ascii="Calibri" w:hAnsi="Calibri"/>
          <w:color w:val="212529"/>
          <w:sz w:val="22"/>
        </w:rPr>
        <w:t>: Multi-state belief vector $\mathbf{b}_t$ tracking crop health, severe drought/flood failure, and adversarial grain diversion/fraud.</w:t>
      </w:r>
    </w:p>
    <w:p>
      <w:pPr>
        <w:pStyle w:val="ListNumber"/>
        <w:spacing w:before="20" w:after="40"/>
      </w:pPr>
      <w:r>
        <w:rPr>
          <w:rFonts w:ascii="Calibri" w:hAnsi="Calibri"/>
          <w:i/>
          <w:color w:val="212529"/>
          <w:sz w:val="22"/>
        </w:rPr>
        <w:t>Crop Phenological Vulnerability Window ($V(t)$)</w:t>
      </w:r>
      <w:r>
        <w:rPr>
          <w:rFonts w:ascii="Calibri" w:hAnsi="Calibri"/>
          <w:color w:val="212529"/>
          <w:sz w:val="22"/>
        </w:rPr>
        <w:t>: Continuous growth-stage multiplier weighting potential financial loss against agronomic mitigability (flowering/pod-fill vs. early vegetative).</w:t>
      </w:r>
    </w:p>
    <w:p>
      <w:pPr>
        <w:pStyle w:val="ListNumber"/>
        <w:spacing w:before="20" w:after="40"/>
      </w:pPr>
      <w:r>
        <w:rPr>
          <w:rFonts w:ascii="Calibri" w:hAnsi="Calibri"/>
          <w:i/>
          <w:color w:val="212529"/>
          <w:sz w:val="22"/>
        </w:rPr>
        <w:t>Micro-Meteorological Cloud Penalty</w:t>
      </w:r>
      <w:r>
        <w:rPr>
          <w:rFonts w:ascii="Calibri" w:hAnsi="Calibri"/>
          <w:color w:val="212529"/>
          <w:sz w:val="22"/>
        </w:rPr>
        <w:t>: Dynamic integration with numerical weather prediction models (ECMWF, CPTEC, GFS) computing cloud obscuration probability $P_{\text{cloud}}(t + \Delta t_{\text{sat}})$, quantifying the exact decay of orbital data certainty.</w:t>
      </w:r>
    </w:p>
    <w:p>
      <w:pPr>
        <w:pStyle w:val="ListNumber"/>
        <w:spacing w:before="20" w:after="40"/>
      </w:pPr>
      <w:r>
        <w:rPr>
          <w:rFonts w:ascii="Calibri" w:hAnsi="Calibri"/>
          <w:i/>
          <w:color w:val="212529"/>
          <w:sz w:val="22"/>
        </w:rPr>
        <w:t>Financial Credit Exposure at Risk ($E_{\text{credit}}$)</w:t>
      </w:r>
      <w:r>
        <w:rPr>
          <w:rFonts w:ascii="Calibri" w:hAnsi="Calibri"/>
          <w:color w:val="212529"/>
          <w:sz w:val="22"/>
        </w:rPr>
        <w:t>: Real-time debt balance, loan-to-value ratio, and legal collateral recovery haircuts.</w:t>
      </w:r>
    </w:p>
    <w:p>
      <w:pPr>
        <w:pStyle w:val="ListNumber"/>
        <w:spacing w:before="20" w:after="40"/>
      </w:pPr>
      <w:r>
        <w:rPr>
          <w:rFonts w:ascii="Calibri" w:hAnsi="Calibri"/>
          <w:i/>
          <w:color w:val="212529"/>
          <w:sz w:val="22"/>
        </w:rPr>
        <w:t>Marginal Operational Flight Cost Model ($C_{\text{flight}}$)</w:t>
      </w:r>
      <w:r>
        <w:rPr>
          <w:rFonts w:ascii="Calibri" w:hAnsi="Calibri"/>
          <w:color w:val="212529"/>
          <w:sz w:val="22"/>
        </w:rPr>
        <w:t>: Explicit function of logistics mobilization, pilot per-diems, travel distance, airspace permit fees (SARPAS/DECEA), and battery-cycle depreciation per hectare.</w:t>
      </w:r>
    </w:p>
    <w:p>
      <w:pPr>
        <w:pStyle w:val="ListBullet"/>
        <w:spacing w:before="20" w:after="40"/>
      </w:pPr>
      <w:r>
        <w:rPr>
          <w:rFonts w:ascii="Calibri" w:hAnsi="Calibri"/>
          <w:b/>
          <w:color w:val="212529"/>
          <w:sz w:val="22"/>
        </w:rPr>
        <w:t>Commercial Impact</w:t>
      </w:r>
      <w:r>
        <w:rPr>
          <w:rFonts w:ascii="Calibri" w:hAnsi="Calibri"/>
          <w:color w:val="212529"/>
          <w:sz w:val="22"/>
        </w:rPr>
        <w:t xml:space="preserve">: Drones are dispatched </w:t>
      </w:r>
      <w:r>
        <w:rPr>
          <w:rFonts w:ascii="Calibri" w:hAnsi="Calibri"/>
          <w:b/>
          <w:color w:val="212529"/>
          <w:sz w:val="22"/>
        </w:rPr>
        <w:t>if and only if the marginal economic value of information exceeds flight cost ($\text{NVoI} &gt; 0$)</w:t>
      </w:r>
      <w:r>
        <w:rPr>
          <w:rFonts w:ascii="Calibri" w:hAnsi="Calibri"/>
          <w:color w:val="212529"/>
          <w:sz w:val="22"/>
        </w:rPr>
        <w:t>. This slashes drone inspection expenditures by $60\%\text{--}70\%$ while accelerating the detection of credit-impairing events by $&gt;65\%$.</w:t>
      </w:r>
    </w:p>
    <w:p>
      <w:pPr>
        <w:spacing w:before="120" w:after="120"/>
        <w:pBdr>
          <w:bottom w:val="single" w:sz="8" w:space="1" w:color="D0D5DD"/>
        </w:pBdr>
      </w:pPr>
    </w:p>
    <w:p>
      <w:pPr>
        <w:spacing w:before="200" w:after="40"/>
      </w:pPr>
      <w:r>
        <w:rPr>
          <w:rFonts w:ascii="Calibri" w:hAnsi="Calibri"/>
          <w:b/>
          <w:color w:val="102C57"/>
          <w:sz w:val="26"/>
        </w:rPr>
        <w:t>2.3 Direction 3: DTM Vertical Error Propagation in Agricultural Hydrology &amp; Erosion</w:t>
      </w:r>
    </w:p>
    <w:p>
      <w:pPr>
        <w:spacing w:before="160" w:after="40"/>
      </w:pPr>
      <w:r>
        <w:rPr>
          <w:rFonts w:ascii="Calibri" w:hAnsi="Calibri"/>
          <w:b/>
          <w:color w:val="1C6EA4"/>
          <w:sz w:val="22"/>
        </w:rPr>
        <w:t>Prior-Art Citation 3.1: Academic Geostatistical Error Simulation</w:t>
      </w:r>
    </w:p>
    <w:p>
      <w:pPr>
        <w:pStyle w:val="ListBullet"/>
        <w:spacing w:before="20" w:after="40"/>
      </w:pPr>
      <w:r>
        <w:rPr>
          <w:rFonts w:ascii="Calibri" w:hAnsi="Calibri"/>
          <w:b/>
          <w:color w:val="212529"/>
          <w:sz w:val="22"/>
        </w:rPr>
        <w:t>Citation</w:t>
      </w:r>
      <w:r>
        <w:rPr>
          <w:rFonts w:ascii="Calibri" w:hAnsi="Calibri"/>
          <w:color w:val="212529"/>
          <w:sz w:val="22"/>
        </w:rPr>
        <w:t xml:space="preserve">: Wechsler, S. P., &amp; Kroll, C. N. (2006). "Quantifying digital elevation model uncertainty: evaluating a method of error simulation." </w:t>
      </w:r>
      <w:r>
        <w:rPr>
          <w:rFonts w:ascii="Calibri" w:hAnsi="Calibri"/>
          <w:i/>
          <w:color w:val="212529"/>
          <w:sz w:val="22"/>
        </w:rPr>
        <w:t>Computers &amp; Geosciences</w:t>
      </w:r>
      <w:r>
        <w:rPr>
          <w:rFonts w:ascii="Calibri" w:hAnsi="Calibri"/>
          <w:color w:val="212529"/>
          <w:sz w:val="22"/>
        </w:rPr>
        <w:t>, 32(8), 1081-1090. DOI: [10.1016/j.cageo.2005.11.015](https://doi.org/10.1016/j.cageo.2005.11.015).</w:t>
      </w:r>
    </w:p>
    <w:p>
      <w:pPr>
        <w:pStyle w:val="ListBullet"/>
        <w:spacing w:before="20" w:after="40"/>
      </w:pPr>
      <w:r>
        <w:rPr>
          <w:rFonts w:ascii="Calibri" w:hAnsi="Calibri"/>
          <w:b/>
          <w:color w:val="212529"/>
          <w:sz w:val="22"/>
        </w:rPr>
        <w:t>Methodology Summary</w:t>
      </w:r>
      <w:r>
        <w:rPr>
          <w:rFonts w:ascii="Calibri" w:hAnsi="Calibri"/>
          <w:color w:val="212529"/>
          <w:sz w:val="22"/>
        </w:rPr>
        <w:t>: Simulates elevation uncertainty in digital elevation models by adding spatially correlated Gaussian random fields generated through sequential Gaussian simulation (SGS), evaluating the variance of derived slope, aspect, and planar topographic attributes.</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Academic &amp; Disconnected from Hydrological Design</w:t>
      </w:r>
      <w:r>
        <w:rPr>
          <w:rFonts w:ascii="Calibri" w:hAnsi="Calibri"/>
          <w:color w:val="212529"/>
          <w:sz w:val="22"/>
        </w:rPr>
        <w:t>: Evaluates only mathematical terrain derivatives (slope, aspect). Contains zero hydrological flow routing, no hydraulic catchment accumulation, and no engineering design logic.</w:t>
      </w:r>
    </w:p>
    <w:p>
      <w:pPr>
        <w:pStyle w:val="ListNumber"/>
        <w:spacing w:before="20" w:after="40"/>
      </w:pPr>
      <w:r>
        <w:rPr>
          <w:rFonts w:ascii="Calibri" w:hAnsi="Calibri"/>
          <w:i/>
          <w:color w:val="212529"/>
          <w:sz w:val="22"/>
        </w:rPr>
        <w:t>Agnostic to Agricultural Terraces</w:t>
      </w:r>
      <w:r>
        <w:rPr>
          <w:rFonts w:ascii="Calibri" w:hAnsi="Calibri"/>
          <w:color w:val="212529"/>
          <w:sz w:val="22"/>
        </w:rPr>
        <w:t>: Completely ignores agricultural soil conservation structures (</w:t>
      </w:r>
      <w:r>
        <w:rPr>
          <w:rFonts w:ascii="Calibri" w:hAnsi="Calibri"/>
          <w:i/>
          <w:color w:val="212529"/>
          <w:sz w:val="22"/>
        </w:rPr>
        <w:t>curvas de nível</w:t>
      </w:r>
      <w:r>
        <w:rPr>
          <w:rFonts w:ascii="Calibri" w:hAnsi="Calibri"/>
          <w:color w:val="212529"/>
          <w:sz w:val="22"/>
        </w:rPr>
        <w:t xml:space="preserve"> / terraces), volumetric storage capacity, and hydraulic overtopping mechanics.</w:t>
      </w:r>
    </w:p>
    <w:p>
      <w:pPr>
        <w:pStyle w:val="ListNumber"/>
        <w:spacing w:before="20" w:after="40"/>
      </w:pPr>
      <w:r>
        <w:rPr>
          <w:rFonts w:ascii="Calibri" w:hAnsi="Calibri"/>
          <w:i/>
          <w:color w:val="212529"/>
          <w:sz w:val="22"/>
        </w:rPr>
        <w:t>Uncoupled from Soil Mechanics &amp; Credit Risk</w:t>
      </w:r>
      <w:r>
        <w:rPr>
          <w:rFonts w:ascii="Calibri" w:hAnsi="Calibri"/>
          <w:color w:val="212529"/>
          <w:sz w:val="22"/>
        </w:rPr>
        <w:t>: Lacks integration with soil erodibility indices (RUSLE / SPI), rainfall-runoff depth calculations (SCS-CN), and rural credit compliance under MCR 2-9.</w:t>
      </w:r>
    </w:p>
    <w:p>
      <w:pPr>
        <w:spacing w:before="160" w:after="40"/>
      </w:pPr>
      <w:r>
        <w:rPr>
          <w:rFonts w:ascii="Calibri" w:hAnsi="Calibri"/>
          <w:b/>
          <w:color w:val="1C6EA4"/>
          <w:sz w:val="22"/>
        </w:rPr>
        <w:t>Prior-Art Citation 3.2: Foundational GIS Error Propagation Theory</w:t>
      </w:r>
    </w:p>
    <w:p>
      <w:pPr>
        <w:pStyle w:val="ListBullet"/>
        <w:spacing w:before="20" w:after="40"/>
      </w:pPr>
      <w:r>
        <w:rPr>
          <w:rFonts w:ascii="Calibri" w:hAnsi="Calibri"/>
          <w:b/>
          <w:color w:val="212529"/>
          <w:sz w:val="22"/>
        </w:rPr>
        <w:t>Citation</w:t>
      </w:r>
      <w:r>
        <w:rPr>
          <w:rFonts w:ascii="Calibri" w:hAnsi="Calibri"/>
          <w:color w:val="212529"/>
          <w:sz w:val="22"/>
        </w:rPr>
        <w:t xml:space="preserve">: Heuvelink, G. B. M. (1998). </w:t>
      </w:r>
      <w:r>
        <w:rPr>
          <w:rFonts w:ascii="Calibri" w:hAnsi="Calibri"/>
          <w:i/>
          <w:color w:val="212529"/>
          <w:sz w:val="22"/>
        </w:rPr>
        <w:t>Error Propagation in Environmental Modelling with GIS</w:t>
      </w:r>
      <w:r>
        <w:rPr>
          <w:rFonts w:ascii="Calibri" w:hAnsi="Calibri"/>
          <w:color w:val="212529"/>
          <w:sz w:val="22"/>
        </w:rPr>
        <w:t xml:space="preserve">. CRC Press / Taylor &amp; Francis; and Hunter, G. J., &amp; Goodchild, M. F. (1997). "Modeling the uncertainty of slope and aspect estimates made from digital elevation models." </w:t>
      </w:r>
      <w:r>
        <w:rPr>
          <w:rFonts w:ascii="Calibri" w:hAnsi="Calibri"/>
          <w:i/>
          <w:color w:val="212529"/>
          <w:sz w:val="22"/>
        </w:rPr>
        <w:t>Geographical Analysis</w:t>
      </w:r>
      <w:r>
        <w:rPr>
          <w:rFonts w:ascii="Calibri" w:hAnsi="Calibri"/>
          <w:color w:val="212529"/>
          <w:sz w:val="22"/>
        </w:rPr>
        <w:t>, 29(1), 35-49.</w:t>
      </w:r>
    </w:p>
    <w:p>
      <w:pPr>
        <w:pStyle w:val="ListBullet"/>
        <w:spacing w:before="20" w:after="40"/>
      </w:pPr>
      <w:r>
        <w:rPr>
          <w:rFonts w:ascii="Calibri" w:hAnsi="Calibri"/>
          <w:b/>
          <w:color w:val="212529"/>
          <w:sz w:val="22"/>
        </w:rPr>
        <w:t>Methodology Summary</w:t>
      </w:r>
      <w:r>
        <w:rPr>
          <w:rFonts w:ascii="Calibri" w:hAnsi="Calibri"/>
          <w:color w:val="212529"/>
          <w:sz w:val="22"/>
        </w:rPr>
        <w:t>: Develops theoretical Taylor-series expansions and unconditioned Monte Carlo methods to model error propagation through spatial GIS operations, examining variance propagation in generic environmental models.</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Generic Mathematical Framework</w:t>
      </w:r>
      <w:r>
        <w:rPr>
          <w:rFonts w:ascii="Calibri" w:hAnsi="Calibri"/>
          <w:color w:val="212529"/>
          <w:sz w:val="22"/>
        </w:rPr>
        <w:t>: Formulates general theoretical principles without domain-specific engineering solutions for tropical agricultural catchments.</w:t>
      </w:r>
    </w:p>
    <w:p>
      <w:pPr>
        <w:pStyle w:val="ListNumber"/>
        <w:spacing w:before="20" w:after="40"/>
      </w:pPr>
      <w:r>
        <w:rPr>
          <w:rFonts w:ascii="Calibri" w:hAnsi="Calibri"/>
          <w:i/>
          <w:color w:val="212529"/>
          <w:sz w:val="22"/>
        </w:rPr>
        <w:t>Blind to Photogrammetric Canopy Noise Structure</w:t>
      </w:r>
      <w:r>
        <w:rPr>
          <w:rFonts w:ascii="Calibri" w:hAnsi="Calibri"/>
          <w:color w:val="212529"/>
          <w:sz w:val="22"/>
        </w:rPr>
        <w:t>: Assumes homogeneous isotropic Gaussian error, failing to model the specific physical non-Gaussian vertical biases introduced by drone photogrammetry over agricultural crop canopies (canopy height vs. true bare ground).</w:t>
      </w:r>
    </w:p>
    <w:p>
      <w:pPr>
        <w:pStyle w:val="ListNumber"/>
        <w:spacing w:before="20" w:after="40"/>
      </w:pPr>
      <w:r>
        <w:rPr>
          <w:rFonts w:ascii="Calibri" w:hAnsi="Calibri"/>
          <w:i/>
          <w:color w:val="212529"/>
          <w:sz w:val="22"/>
        </w:rPr>
        <w:t>No Regulatory or Structural Risk Application</w:t>
      </w:r>
      <w:r>
        <w:rPr>
          <w:rFonts w:ascii="Calibri" w:hAnsi="Calibri"/>
          <w:color w:val="212529"/>
          <w:sz w:val="22"/>
        </w:rPr>
        <w:t>: Does not model hydraulic structure failure, gully formation risk (</w:t>
      </w:r>
      <w:r>
        <w:rPr>
          <w:rFonts w:ascii="Calibri" w:hAnsi="Calibri"/>
          <w:i/>
          <w:color w:val="212529"/>
          <w:sz w:val="22"/>
        </w:rPr>
        <w:t>voçorocas</w:t>
      </w:r>
      <w:r>
        <w:rPr>
          <w:rFonts w:ascii="Calibri" w:hAnsi="Calibri"/>
          <w:color w:val="212529"/>
          <w:sz w:val="22"/>
        </w:rPr>
        <w:t>), or regulatory non-compliance under MAPA ZarcNM and Forest Code Art. 4º, V.</w:t>
      </w:r>
    </w:p>
    <w:p>
      <w:pPr>
        <w:spacing w:before="160" w:after="40"/>
      </w:pPr>
      <w:r>
        <w:rPr>
          <w:rFonts w:ascii="Calibri" w:hAnsi="Calibri"/>
          <w:b/>
          <w:color w:val="1C6EA4"/>
          <w:sz w:val="22"/>
        </w:rPr>
        <w:t>Prior-Art Citation 3.3: Agricultural Runoff Modeling Patent</w:t>
      </w:r>
    </w:p>
    <w:p>
      <w:pPr>
        <w:pStyle w:val="ListBullet"/>
        <w:spacing w:before="20" w:after="40"/>
      </w:pPr>
      <w:r>
        <w:rPr>
          <w:rFonts w:ascii="Calibri" w:hAnsi="Calibri"/>
          <w:b/>
          <w:color w:val="212529"/>
          <w:sz w:val="22"/>
        </w:rPr>
        <w:t>Citation</w:t>
      </w:r>
      <w:r>
        <w:rPr>
          <w:rFonts w:ascii="Calibri" w:hAnsi="Calibri"/>
          <w:color w:val="212529"/>
          <w:sz w:val="22"/>
        </w:rPr>
        <w:t>: U.S. Patent 9,679,077 B2. "Methods and apparatus for determining surface water runoff in agricultural fields." Assigned to The Climate Corporation (Bayer Crop Science). Inventors: B. N. Wilson, et al. Granted: June 13, 2017.</w:t>
      </w:r>
    </w:p>
    <w:p>
      <w:pPr>
        <w:pStyle w:val="ListBullet"/>
        <w:spacing w:before="20" w:after="40"/>
      </w:pPr>
      <w:r>
        <w:rPr>
          <w:rFonts w:ascii="Calibri" w:hAnsi="Calibri"/>
          <w:b/>
          <w:color w:val="212529"/>
          <w:sz w:val="22"/>
        </w:rPr>
        <w:t>Methodology Summary</w:t>
      </w:r>
      <w:r>
        <w:rPr>
          <w:rFonts w:ascii="Calibri" w:hAnsi="Calibri"/>
          <w:color w:val="212529"/>
          <w:sz w:val="22"/>
        </w:rPr>
        <w:t>: Discloses digital tools for estimating surface water runoff depths and flow pathways across agricultural fields by ingesting a digital elevation model, computing flow direction and accumulation rasters deterministically, and outputting runoff flow paths to assist in drainage design.</w:t>
      </w:r>
    </w:p>
    <w:p>
      <w:pPr>
        <w:pStyle w:val="ListBullet"/>
        <w:spacing w:before="20" w:after="40"/>
      </w:pPr>
      <w:r>
        <w:rPr>
          <w:rFonts w:ascii="Calibri" w:hAnsi="Calibri"/>
          <w:b/>
          <w:color w:val="212529"/>
          <w:sz w:val="22"/>
        </w:rPr>
        <w:t>Why It Fails the Target Operational Gap</w:t>
      </w:r>
      <w:r>
        <w:rPr>
          <w:rFonts w:ascii="Calibri" w:hAnsi="Calibri"/>
          <w:color w:val="212529"/>
          <w:sz w:val="22"/>
        </w:rPr>
        <w:t>:</w:t>
      </w:r>
    </w:p>
    <w:p>
      <w:pPr>
        <w:pStyle w:val="ListNumber"/>
        <w:spacing w:before="20" w:after="40"/>
      </w:pPr>
      <w:r>
        <w:rPr>
          <w:rFonts w:ascii="Calibri" w:hAnsi="Calibri"/>
          <w:i/>
          <w:color w:val="212529"/>
          <w:sz w:val="22"/>
        </w:rPr>
        <w:t>Completely Deterministic Architecture</w:t>
      </w:r>
      <w:r>
        <w:rPr>
          <w:rFonts w:ascii="Calibri" w:hAnsi="Calibri"/>
          <w:color w:val="212529"/>
          <w:sz w:val="22"/>
        </w:rPr>
        <w:t>: Assumes the input DEM represents perfect physical truth with zero vertical elevation error.</w:t>
      </w:r>
    </w:p>
    <w:p>
      <w:pPr>
        <w:pStyle w:val="ListNumber"/>
        <w:spacing w:before="20" w:after="40"/>
      </w:pPr>
      <w:r>
        <w:rPr>
          <w:rFonts w:ascii="Calibri" w:hAnsi="Calibri"/>
          <w:i/>
          <w:color w:val="212529"/>
          <w:sz w:val="22"/>
        </w:rPr>
        <w:t>Catastrophic "Flow-Flipping" Failure Mode</w:t>
      </w:r>
      <w:r>
        <w:rPr>
          <w:rFonts w:ascii="Calibri" w:hAnsi="Calibri"/>
          <w:color w:val="212529"/>
          <w:sz w:val="22"/>
        </w:rPr>
        <w:t>: In flat or gently rolling agricultural landscapes ($1.5\%\text{--}4\%$ slope, typical of Brazilian Cerrado soybean plateaus), photogrammetric vertical noise of $\pm 20\text{--}30\text{ cm}$ causes flow directions to flip by up to $180^\circ$, misallocating contributing catchment areas by hundreds of meters.</w:t>
      </w:r>
    </w:p>
    <w:p>
      <w:pPr>
        <w:pStyle w:val="ListNumber"/>
        <w:spacing w:before="20" w:after="40"/>
      </w:pPr>
      <w:r>
        <w:rPr>
          <w:rFonts w:ascii="Calibri" w:hAnsi="Calibri"/>
          <w:i/>
          <w:color w:val="212529"/>
          <w:sz w:val="22"/>
        </w:rPr>
        <w:t>Brittle Single-Run Terrace Sizing</w:t>
      </w:r>
      <w:r>
        <w:rPr>
          <w:rFonts w:ascii="Calibri" w:hAnsi="Calibri"/>
          <w:color w:val="212529"/>
          <w:sz w:val="22"/>
        </w:rPr>
        <w:t>: Sizing contour terraces on a deterministic DTM results in severely undersized channels that overtop and wash out during convective tropical downpours, initiating catastrophic gully erosion (</w:t>
      </w:r>
      <w:r>
        <w:rPr>
          <w:rFonts w:ascii="Calibri" w:hAnsi="Calibri"/>
          <w:i/>
          <w:color w:val="212529"/>
          <w:sz w:val="22"/>
        </w:rPr>
        <w:t>voçorocas</w:t>
      </w:r>
      <w:r>
        <w:rPr>
          <w:rFonts w:ascii="Calibri" w:hAnsi="Calibri"/>
          <w:color w:val="212529"/>
          <w:sz w:val="22"/>
        </w:rPr>
        <w:t>).</w:t>
      </w:r>
    </w:p>
    <w:p>
      <w:pPr>
        <w:spacing w:before="160" w:after="40"/>
      </w:pPr>
      <w:r>
        <w:rPr>
          <w:rFonts w:ascii="Calibri" w:hAnsi="Calibri"/>
          <w:b/>
          <w:color w:val="1C6EA4"/>
          <w:sz w:val="22"/>
        </w:rPr>
        <w:t>Agrostech's Defensible Novelty &amp; Exact Boundary (Direction 3)</w:t>
      </w:r>
    </w:p>
    <w:p>
      <w:pPr>
        <w:pStyle w:val="ListBullet"/>
        <w:spacing w:before="20" w:after="40"/>
      </w:pPr>
      <w:r>
        <w:rPr>
          <w:rFonts w:ascii="Calibri" w:hAnsi="Calibri"/>
          <w:b/>
          <w:color w:val="212529"/>
          <w:sz w:val="22"/>
        </w:rPr>
        <w:t>The Commodity Boundary</w:t>
      </w:r>
      <w:r>
        <w:rPr>
          <w:rFonts w:ascii="Calibri" w:hAnsi="Calibri"/>
          <w:color w:val="212529"/>
          <w:sz w:val="22"/>
        </w:rPr>
        <w:t>: Deterministic flow routing (D8/D-inf) and single-pass SCS-CN or Rational Method runoff calculations executed on raw, unperturbed digital elevation rasters.</w:t>
      </w:r>
    </w:p>
    <w:p>
      <w:pPr>
        <w:pStyle w:val="ListBullet"/>
        <w:spacing w:before="20" w:after="40"/>
      </w:pPr>
      <w:r>
        <w:rPr>
          <w:rFonts w:ascii="Calibri" w:hAnsi="Calibri"/>
          <w:b/>
          <w:color w:val="212529"/>
          <w:sz w:val="22"/>
        </w:rPr>
        <w:t>Agrostech’s Inventive Core</w:t>
      </w:r>
      <w:r>
        <w:rPr>
          <w:rFonts w:ascii="Calibri" w:hAnsi="Calibri"/>
          <w:color w:val="212529"/>
          <w:sz w:val="22"/>
        </w:rPr>
        <w:t>: A distributed Monte Carlo elevation error perturbation engine coupled to an advanced tropical SCS-CN hydrological routing architecture:</w:t>
      </w:r>
    </w:p>
    <w:p>
      <w:pPr>
        <w:spacing w:before="40" w:after="80"/>
      </w:pPr>
      <w:r>
        <w:rPr>
          <w:rFonts w:ascii="Calibri" w:hAnsi="Calibri"/>
          <w:color w:val="212529"/>
          <w:sz w:val="22"/>
        </w:rPr>
        <w:t>$$z(x, y, \omega) = z_0(x, y) + \sigma_z(x, y) \cdot \eta(x, y, \omega)$$</w:t>
      </w:r>
    </w:p>
    <w:p>
      <w:pPr>
        <w:spacing w:before="40" w:after="80"/>
      </w:pPr>
      <w:r>
        <w:rPr>
          <w:rFonts w:ascii="Calibri" w:hAnsi="Calibri"/>
          <w:color w:val="212529"/>
          <w:sz w:val="22"/>
        </w:rPr>
        <w:t>incorporating:</w:t>
      </w:r>
    </w:p>
    <w:p>
      <w:pPr>
        <w:pStyle w:val="ListNumber"/>
        <w:spacing w:before="20" w:after="40"/>
      </w:pPr>
      <w:r>
        <w:rPr>
          <w:rFonts w:ascii="Calibri" w:hAnsi="Calibri"/>
          <w:i/>
          <w:color w:val="212529"/>
          <w:sz w:val="22"/>
        </w:rPr>
        <w:t>Canopy- and Slope-Conditioned Error Scaling</w:t>
      </w:r>
      <w:r>
        <w:rPr>
          <w:rFonts w:ascii="Calibri" w:hAnsi="Calibri"/>
          <w:color w:val="212529"/>
          <w:sz w:val="22"/>
        </w:rPr>
        <w:t>: Spatially varying vertical error standard deviation $\sigma_z(x, y) = \sigma_{\text{base}} \cdot [1 + \alpha (\text{NDVI})^2] \cdot [1 + \beta \tan(\theta)]$, explicitly accounting for drone photogrammetric canopy penetration failure.</w:t>
      </w:r>
    </w:p>
    <w:p>
      <w:pPr>
        <w:pStyle w:val="ListNumber"/>
        <w:spacing w:before="20" w:after="40"/>
      </w:pPr>
      <w:r>
        <w:rPr>
          <w:rFonts w:ascii="Calibri" w:hAnsi="Calibri"/>
          <w:i/>
          <w:color w:val="212529"/>
          <w:sz w:val="22"/>
        </w:rPr>
        <w:t>2D Spectral Spatial Autocorrelation</w:t>
      </w:r>
      <w:r>
        <w:rPr>
          <w:rFonts w:ascii="Calibri" w:hAnsi="Calibri"/>
          <w:color w:val="212529"/>
          <w:sz w:val="22"/>
        </w:rPr>
        <w:t>: High-performance Gaussian Random Field generation via 2D Fast Fourier Transform spectral filtering using empirical correlation length scale $L_{\text{corr}}$.</w:t>
      </w:r>
    </w:p>
    <w:p>
      <w:pPr>
        <w:pStyle w:val="ListNumber"/>
        <w:spacing w:before="20" w:after="40"/>
      </w:pPr>
      <w:r>
        <w:rPr>
          <w:rFonts w:ascii="Calibri" w:hAnsi="Calibri"/>
          <w:i/>
          <w:color w:val="212529"/>
          <w:sz w:val="22"/>
        </w:rPr>
        <w:t>Tropical Soil Hydrology Calibration</w:t>
      </w:r>
      <w:r>
        <w:rPr>
          <w:rFonts w:ascii="Calibri" w:hAnsi="Calibri"/>
          <w:color w:val="212529"/>
          <w:sz w:val="22"/>
        </w:rPr>
        <w:t>: SCS-CN model adapted to Brazilian Oxisols (</w:t>
      </w:r>
      <w:r>
        <w:rPr>
          <w:rFonts w:ascii="Calibri" w:hAnsi="Calibri"/>
          <w:i/>
          <w:color w:val="212529"/>
          <w:sz w:val="22"/>
        </w:rPr>
        <w:t>Latossolos</w:t>
      </w:r>
      <w:r>
        <w:rPr>
          <w:rFonts w:ascii="Calibri" w:hAnsi="Calibri"/>
          <w:color w:val="212529"/>
          <w:sz w:val="22"/>
        </w:rPr>
        <w:t>) using initial abstraction ratio $\lambda = 0.05$ (calibrated for high tropical infiltration, replacing outdated USDA $\lambda = 0.20$).</w:t>
      </w:r>
    </w:p>
    <w:p>
      <w:pPr>
        <w:pStyle w:val="ListNumber"/>
        <w:spacing w:before="20" w:after="40"/>
      </w:pPr>
      <w:r>
        <w:rPr>
          <w:rFonts w:ascii="Calibri" w:hAnsi="Calibri"/>
          <w:i/>
          <w:color w:val="212529"/>
          <w:sz w:val="22"/>
        </w:rPr>
        <w:t>Probabilistic Terrace Overtopping Risk</w:t>
      </w:r>
      <w:r>
        <w:rPr>
          <w:rFonts w:ascii="Calibri" w:hAnsi="Calibri"/>
          <w:color w:val="212529"/>
          <w:sz w:val="22"/>
        </w:rPr>
        <w:t>: Evaluating ensemble inflow volumes across $M = 200\text{--}500$ stochastic surfaces to calculate explicit structural failure probability:</w:t>
      </w:r>
    </w:p>
    <w:p>
      <w:pPr>
        <w:spacing w:before="40" w:after="80"/>
      </w:pPr>
      <w:r>
        <w:rPr>
          <w:rFonts w:ascii="Calibri" w:hAnsi="Calibri"/>
          <w:color w:val="212529"/>
          <w:sz w:val="22"/>
        </w:rPr>
        <w:t>$$P_{\text{overtop}}(T_k) = \frac{1}{M}\sum_{\omega=1}^M \mathbb{I}\left( V_{\text{inflow}}(T_k, \omega) &gt; V_{\text{storage}}(T_k) \right)$$</w:t>
      </w:r>
    </w:p>
    <w:p>
      <w:pPr>
        <w:pStyle w:val="ListNumber"/>
        <w:spacing w:before="20" w:after="40"/>
      </w:pPr>
      <w:r>
        <w:rPr>
          <w:rFonts w:ascii="Calibri" w:hAnsi="Calibri"/>
          <w:i/>
          <w:color w:val="212529"/>
          <w:sz w:val="22"/>
        </w:rPr>
        <w:t>3D True-Surface Slope Extraction</w:t>
      </w:r>
      <w:r>
        <w:rPr>
          <w:rFonts w:ascii="Calibri" w:hAnsi="Calibri"/>
          <w:color w:val="212529"/>
          <w:sz w:val="22"/>
        </w:rPr>
        <w:t>: Precise identification of mandatory preservation escarpments ($&gt; 45^\circ / 100\%$ APP under Forest Code Art. 4º, V) that are systematically hidden in 2D planar cartography.</w:t>
      </w:r>
    </w:p>
    <w:p>
      <w:pPr>
        <w:pStyle w:val="ListBullet"/>
        <w:spacing w:before="20" w:after="40"/>
      </w:pPr>
      <w:r>
        <w:rPr>
          <w:rFonts w:ascii="Calibri" w:hAnsi="Calibri"/>
          <w:b/>
          <w:color w:val="212529"/>
          <w:sz w:val="22"/>
        </w:rPr>
        <w:t>Commercial Impact</w:t>
      </w:r>
      <w:r>
        <w:rPr>
          <w:rFonts w:ascii="Calibri" w:hAnsi="Calibri"/>
          <w:color w:val="212529"/>
          <w:sz w:val="22"/>
        </w:rPr>
        <w:t>: Replaces dangerous binary safety assumptions with an uncertainty-calibrated risk heat map, preventing catastrophic terrace washouts and securing legally defensible soil conservation compliance under MCR 2-9 and ZarcNM.</w:t>
      </w:r>
    </w:p>
    <w:p>
      <w:pPr>
        <w:spacing w:before="120" w:after="120"/>
        <w:pBdr>
          <w:bottom w:val="single" w:sz="8" w:space="1" w:color="D0D5DD"/>
        </w:pBdr>
      </w:pPr>
    </w:p>
    <w:p>
      <w:pPr>
        <w:spacing w:before="240" w:after="60"/>
      </w:pPr>
      <w:r>
        <w:rPr>
          <w:rFonts w:ascii="Calibri" w:hAnsi="Calibri"/>
          <w:b/>
          <w:color w:val="1C6EA4"/>
          <w:sz w:val="32"/>
        </w:rPr>
        <w:t>3. Comprehensive Patent Classification Mapping (IPC / CPC)</w:t>
      </w:r>
    </w:p>
    <w:p>
      <w:pPr>
        <w:spacing w:before="40" w:after="80"/>
      </w:pPr>
      <w:r>
        <w:rPr>
          <w:rFonts w:ascii="Calibri" w:hAnsi="Calibri"/>
          <w:color w:val="212529"/>
          <w:sz w:val="22"/>
        </w:rPr>
        <w:t>To optimize patent application filing, prosecution speed, and international harmonization, Agrostech’s inventions are classified across the following International Patent Classification (IPC) and Cooperative Patent Classification (CPC) codes:</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200" w:type="dxa"/>
              <w:right w:w="200" w:type="dxa"/>
            </w:tcMar>
          </w:tcPr>
          <w:p>
            <w:pPr>
              <w:spacing w:before="40" w:after="40"/>
            </w:pPr>
            <w:r>
              <w:rPr>
                <w:rFonts w:ascii="Consolas" w:hAnsi="Consolas"/>
                <w:color w:val="1E293B"/>
                <w:sz w:val="17"/>
              </w:rPr>
              <w:t>┌────────────────────────────────────────────────────────────────────────────────────────┐</w:t>
              <w:br/>
              <w:t>│                        IPC / CPC PATENT CLASSIFICATION MAPPING                         │</w:t>
              <w:br/>
              <w:t>├────────────────────┬────────────────────┬──────────────────────────────────────────────┤</w:t>
              <w:br/>
              <w:t>│ DIRECTION          │ IPC / CPC CODES    │ FORMAL DEFINITION / TECHNICAL CLASSIFICATION │</w:t>
              <w:br/>
              <w:t>├────────────────────┼────────────────────┼──────────────────────────────────────────────┤</w:t>
              <w:br/>
              <w:t>│ DIRECTION 1:       │ G06Q 50/02         │ Systems or methods specially adapted for     │</w:t>
              <w:br/>
              <w:t>│ Área Contínua      │                    │ agriculture, forestry, or rural operations.  │</w:t>
              <w:br/>
              <w:t>│ Multi-Feature      │ G06Q 40/02         │ Banking; Credit; Loans; Financial management.│</w:t>
              <w:br/>
              <w:t>│ Synchrony Fusion   │ G06T 7/11          │ Region-based image segmentation; Multi-      │</w:t>
              <w:br/>
              <w:t>│                    │                    │ polygon geospatial topological clustering.   │</w:t>
              <w:br/>
              <w:t>│                    │ G06V 20/17         │ Visual surveillance from aerial / space.     │</w:t>
              <w:br/>
              <w:t>│                    │ G01S 13/90         │ Radar systems; Synthetic aperture radar (SAR)│</w:t>
              <w:br/>
              <w:t>├────────────────────┼────────────────────┼──────────────────────────────────────────────┤</w:t>
              <w:br/>
              <w:t>│ DIRECTION 2:       │ B64U 10/00         │ Unmanned aerial vehicles (UAVs / Drones).    │</w:t>
              <w:br/>
              <w:t>│ Value-of-          │ B64U 101/00        │ UAVs specially adapted for agriculture.      │</w:t>
              <w:br/>
              <w:t>│ Information (VoI)  │ G05D 1/00          │ Control of position, course or altitude of   │</w:t>
              <w:br/>
              <w:t>│ Drone Dispatch     │                    │ land, water, air, or space vehicles.         │</w:t>
              <w:br/>
              <w:t>│ Engine             │ G06Q 10/06         │ Resources, scheduling, and operational risk. │</w:t>
              <w:br/>
              <w:t>│                    │ G01W 1/10          │ Meteorological forecasting and telemetry.    │</w:t>
              <w:br/>
              <w:t>├────────────────────┼────────────────────┼──────────────────────────────────────────────┤</w:t>
              <w:br/>
              <w:t>│ DIRECTION 3:       │ G06F 30/20         │ Design of physical systems by Monte Carlo,   │</w:t>
              <w:br/>
              <w:t>│ Uncertainty-Aware  │                    │ spatial fluid dynamics, or stochastic model. │</w:t>
              <w:br/>
              <w:t>│ Probabilistic DTM  │ G06T 17/05         │ Geographic models; 3D terrain reconstruction.│</w:t>
              <w:br/>
              <w:t>│ Hydrology &amp; Erosion│ A01B 79/00         │ Methods for working the soil; Soil and water │</w:t>
              <w:br/>
              <w:t>│                    │                    │ conservation engineering; Terracing systems. │</w:t>
              <w:br/>
              <w:t>│                    │ G01C 11/00         │ Photogrammetry; Vertical error modeling.     │</w:t>
              <w:br/>
              <w:t>└────────────────────┴────────────────────┴──────────────────────────────────────────────┘</w:t>
            </w:r>
          </w:p>
        </w:tc>
      </w:tr>
    </w:tbl>
    <w:p>
      <w:pPr>
        <w:spacing w:after="80"/>
      </w:pPr>
    </w:p>
    <w:p>
      <w:pPr>
        <w:spacing w:before="120" w:after="120"/>
        <w:pBdr>
          <w:bottom w:val="single" w:sz="8" w:space="1" w:color="D0D5DD"/>
        </w:pBdr>
      </w:pPr>
    </w:p>
    <w:p>
      <w:pPr>
        <w:spacing w:before="240" w:after="60"/>
      </w:pPr>
      <w:r>
        <w:rPr>
          <w:rFonts w:ascii="Calibri" w:hAnsi="Calibri"/>
          <w:b/>
          <w:color w:val="1C6EA4"/>
          <w:sz w:val="32"/>
        </w:rPr>
        <w:t>4. INPI Patentability Strategy (Computer-Implemented Inventions)</w:t>
      </w:r>
    </w:p>
    <w:p>
      <w:pPr>
        <w:spacing w:before="200" w:after="40"/>
      </w:pPr>
      <w:r>
        <w:rPr>
          <w:rFonts w:ascii="Calibri" w:hAnsi="Calibri"/>
          <w:b/>
          <w:color w:val="102C57"/>
          <w:sz w:val="26"/>
        </w:rPr>
        <w:t>4.1 Navigating Brazilian Patent Law (Lei Federal nº 9.279/1996 - LPI)</w:t>
      </w:r>
    </w:p>
    <w:p>
      <w:pPr>
        <w:spacing w:before="40" w:after="80"/>
      </w:pPr>
      <w:r>
        <w:rPr>
          <w:rFonts w:ascii="Calibri" w:hAnsi="Calibri"/>
          <w:color w:val="212529"/>
          <w:sz w:val="22"/>
        </w:rPr>
        <w:t>Under Article 10 of Brazilian Patent Law (Lei da Propriedade Industrial - LPI):</w:t>
      </w:r>
    </w:p>
    <w:p>
      <w:pPr>
        <w:pStyle w:val="ListBullet"/>
        <w:spacing w:before="20" w:after="40"/>
      </w:pPr>
      <w:r>
        <w:rPr>
          <w:rFonts w:ascii="Calibri" w:hAnsi="Calibri"/>
          <w:i/>
          <w:color w:val="212529"/>
          <w:sz w:val="22"/>
        </w:rPr>
        <w:t>Article 10, Items I, III, and V</w:t>
      </w:r>
      <w:r>
        <w:rPr>
          <w:rFonts w:ascii="Calibri" w:hAnsi="Calibri"/>
          <w:color w:val="212529"/>
          <w:sz w:val="22"/>
        </w:rPr>
        <w:t xml:space="preserve">: Discoveries, scientific theories, mathematical methods, purely commercial schemes, and computer programs </w:t>
      </w:r>
      <w:r>
        <w:rPr>
          <w:rFonts w:ascii="Calibri" w:hAnsi="Calibri"/>
          <w:i/>
          <w:color w:val="212529"/>
          <w:sz w:val="22"/>
        </w:rPr>
        <w:t>per se</w:t>
      </w:r>
      <w:r>
        <w:rPr>
          <w:rFonts w:ascii="Calibri" w:hAnsi="Calibri"/>
          <w:color w:val="212529"/>
          <w:sz w:val="22"/>
        </w:rPr>
        <w:t xml:space="preserve"> are statutorily excluded from patentability.</w:t>
      </w:r>
    </w:p>
    <w:p>
      <w:pPr>
        <w:pStyle w:val="ListBullet"/>
        <w:spacing w:before="20" w:after="40"/>
      </w:pPr>
      <w:r>
        <w:rPr>
          <w:rFonts w:ascii="Calibri" w:hAnsi="Calibri"/>
          <w:i/>
          <w:color w:val="212529"/>
          <w:sz w:val="22"/>
        </w:rPr>
        <w:t>The CII Technical Doctrine (Portaria INPI/PR nº 411/2020)</w:t>
      </w:r>
      <w:r>
        <w:rPr>
          <w:rFonts w:ascii="Calibri" w:hAnsi="Calibri"/>
          <w:color w:val="212529"/>
          <w:sz w:val="22"/>
        </w:rPr>
        <w:t>: To overcome statutory exclusions and establish patentability at the Brazilian National Institute of Industrial Property (</w:t>
      </w:r>
      <w:r>
        <w:rPr>
          <w:rFonts w:ascii="Calibri" w:hAnsi="Calibri"/>
          <w:i/>
          <w:color w:val="212529"/>
          <w:sz w:val="22"/>
        </w:rPr>
        <w:t>Instituto Nacional da Propriedade Industrial - INPI</w:t>
      </w:r>
      <w:r>
        <w:rPr>
          <w:rFonts w:ascii="Calibri" w:hAnsi="Calibri"/>
          <w:color w:val="212529"/>
          <w:sz w:val="22"/>
        </w:rPr>
        <w:t xml:space="preserve">), software and algorithmic processes must be claimed as </w:t>
      </w:r>
      <w:r>
        <w:rPr>
          <w:rFonts w:ascii="Calibri" w:hAnsi="Calibri"/>
          <w:b/>
          <w:color w:val="212529"/>
          <w:sz w:val="22"/>
        </w:rPr>
        <w:t>Computer-Implemented Inventions (CII)</w:t>
      </w:r>
      <w:r>
        <w:rPr>
          <w:rFonts w:ascii="Calibri" w:hAnsi="Calibri"/>
          <w:color w:val="212529"/>
          <w:sz w:val="22"/>
        </w:rPr>
        <w:t xml:space="preserve"> that solve a specific technical problem and produce a </w:t>
      </w:r>
      <w:r>
        <w:rPr>
          <w:rFonts w:ascii="Calibri" w:hAnsi="Calibri"/>
          <w:b/>
          <w:color w:val="212529"/>
          <w:sz w:val="22"/>
        </w:rPr>
        <w:t>concrete, physical technical effect</w:t>
      </w:r>
      <w:r>
        <w:rPr>
          <w:rFonts w:ascii="Calibri" w:hAnsi="Calibri"/>
          <w:color w:val="212529"/>
          <w:sz w:val="22"/>
        </w:rPr>
        <w:t xml:space="preserve"> beyond the normal electronic interaction between software and generic hardware.</w:t>
      </w:r>
    </w:p>
    <w:p>
      <w:pPr>
        <w:spacing w:before="200" w:after="40"/>
      </w:pPr>
      <w:r>
        <w:rPr>
          <w:rFonts w:ascii="Calibri" w:hAnsi="Calibri"/>
          <w:b/>
          <w:color w:val="102C57"/>
          <w:sz w:val="26"/>
        </w:rPr>
        <w:t>4.2 Exemplary Physical Patent Claims</w:t>
      </w:r>
    </w:p>
    <w:p>
      <w:pPr>
        <w:spacing w:before="40" w:after="80"/>
      </w:pPr>
      <w:r>
        <w:rPr>
          <w:rFonts w:ascii="Calibri" w:hAnsi="Calibri"/>
          <w:color w:val="212529"/>
          <w:sz w:val="22"/>
        </w:rPr>
        <w:t>Agrostech structures its patent claims to bind data transformations directly to physical sensors, orbital antennas, autonomous aircraft avionics, and agricultural earthmoving machinery:</w:t>
      </w:r>
    </w:p>
    <w:p>
      <w:pPr>
        <w:spacing w:before="160" w:after="40"/>
      </w:pPr>
      <w:r>
        <w:rPr>
          <w:rFonts w:ascii="Calibri" w:hAnsi="Calibri"/>
          <w:b/>
          <w:color w:val="1C6EA4"/>
          <w:sz w:val="22"/>
        </w:rPr>
        <w:t>Exemplary Claim Formulation — Direction 1 (Área Contínua)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b/>
                <w:color w:val="334155"/>
                <w:sz w:val="20"/>
              </w:rPr>
              <w:t>Claim 1 (Process / Physical Method)</w:t>
            </w:r>
            <w:r>
              <w:rPr>
                <w:rFonts w:ascii="Calibri" w:hAnsi="Calibri"/>
                <w:color w:val="334155"/>
                <w:sz w:val="20"/>
              </w:rP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"A computer-implemented method for identifying contiguous agricultural operations across legally distinct cadastral property boundaries, comprising:</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(a) receiving, via a network interface, orbital microwave Synthetic Aperture Radar (SAR) signals captured by a satellite antenna over a target geographic area;</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(b) generating a multi-temporal SAR backscatter and interferometric phase coherence surface from said microwave signals;</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(c) calculating an optical phenological time-series similarity index across a shared boundary interface between a first registered cadastral land parcel and a second adjoining registered cadastral land parcel;</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(d) extracting physical crop row orientation angles from high-resolution aerial sensor imagery along said shared boundary interface using axial circular statistics;</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(e) computing a boundary permeability score by measuring physical barrier gradient contrasts along said boundary interface;</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(f) executing a multi-feature logistic fusion processor to generate a calibrated continuous operation probability score; and</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(g) automatically generating and transmitting an electronic control signal configured to consolidate credit underwriting parameters in a rural credit database when said probability score exceeds a predetermined threshold."</w:t>
            </w:r>
          </w:p>
        </w:tc>
      </w:tr>
    </w:tbl>
    <w:p>
      <w:pPr>
        <w:spacing w:after="80"/>
      </w:pPr>
    </w:p>
    <w:p>
      <w:pPr>
        <w:spacing w:before="160" w:after="40"/>
      </w:pPr>
      <w:r>
        <w:rPr>
          <w:rFonts w:ascii="Calibri" w:hAnsi="Calibri"/>
          <w:b/>
          <w:color w:val="1C6EA4"/>
          <w:sz w:val="22"/>
        </w:rPr>
        <w:t>Exemplary Claim Formulation — Direction 2 (VoI Drone Dispatch)</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b/>
                <w:color w:val="334155"/>
                <w:sz w:val="20"/>
              </w:rPr>
              <w:t>Claim 1 (Physical System / Autonomous Mission Controller)</w:t>
            </w:r>
            <w:r>
              <w:rPr>
                <w:rFonts w:ascii="Calibri" w:hAnsi="Calibri"/>
                <w:color w:val="334155"/>
                <w:sz w:val="20"/>
              </w:rP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"An autonomous mission control and dispatch system for unmanned aerial vehicles (UAVs) in agricultural credit inspection, comprising:</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(a) a telemetry receiver configured to ingest predictive numerical weather forecast models and compute a temporal cloud obscuration probability;</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(b) an electronic interface communicatively coupled to a rural credit banking database to retrieve an outstanding financial debt exposure and a crop growth stage;</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(c) an economic decision-theoretic processing engine configured to calculate a Net Value of Information (NVoI) index by determining an expected reduction in financial debt impairment resulting from high-resolution aerial sensor data, factoring said cloud obscuration probability and a phenological vulnerability multiplier, and subtracting a marginal UAV flight mobilization cost; and</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(d) an autonomous avionics transmitter configured to wirelessly transmit flight path waypoints, sensor capture triggers, and battery power management commands to an unmanned aircraft vehicle when said NVoI index exceeds a positive monetary threshold."</w:t>
            </w:r>
          </w:p>
        </w:tc>
      </w:tr>
    </w:tbl>
    <w:p>
      <w:pPr>
        <w:spacing w:after="80"/>
      </w:pPr>
    </w:p>
    <w:p>
      <w:pPr>
        <w:spacing w:before="160" w:after="40"/>
      </w:pPr>
      <w:r>
        <w:rPr>
          <w:rFonts w:ascii="Calibri" w:hAnsi="Calibri"/>
          <w:b/>
          <w:color w:val="1C6EA4"/>
          <w:sz w:val="22"/>
        </w:rPr>
        <w:t>Exemplary Claim Formulation — Direction 3 (Probabilistic Hydrology &amp; Terracing)</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b/>
                <w:color w:val="334155"/>
                <w:sz w:val="20"/>
              </w:rPr>
              <w:t>Claim 1 (Process / Physical Engineering Method)</w:t>
            </w:r>
            <w:r>
              <w:rPr>
                <w:rFonts w:ascii="Calibri" w:hAnsi="Calibri"/>
                <w:color w:val="334155"/>
                <w:sz w:val="20"/>
              </w:rP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"A computer-implemented method for designing agricultural soil conservation contour terraces and mitigating catastrophic rill erosion, comprising:</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(a) receiving an initial digital terrain model (DTM) of an agricultural field generated from photogrammetric point cloud coordinates;</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(b) calculating a spatially varying vertical error standard deviation surface based on crop canopy vegetation density and terrain slope;</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(c) synthesizing an ensemble of spatially correlated Gaussian Random Field elevation perturbations via two-dimensional Fast Fourier Transform spectral filtering;</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(d) generating a plurality of conditioned perturbed terrain surfaces and routing stochastic precipitation runoff volumes across said surfaces using continuous facet flow algorithms;</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(e) calculating a hydraulic overtopping probability for an engineered contour terrace channel by comparing routed cumulative inflow volumes against physical terrace channel cross-sectional storage capacity across said ensemble; and</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50" w:type="dxa"/>
              <w:right w:w="150" w:type="dxa"/>
            </w:tcMar>
            <w:tcBorders>
              <w:left w:val="single" w:sz="24" w:space="0" w:color="102C57"/>
              <w:top w:val="none"/>
              <w:right w:val="none"/>
              <w:bottom w:val="none"/>
            </w:tcBorders>
          </w:tcPr>
          <w:p>
            <w:pPr>
              <w:spacing w:before="40" w:after="40"/>
            </w:pPr>
            <w:r>
              <w:rPr>
                <w:rFonts w:ascii="Calibri" w:hAnsi="Calibri"/>
                <w:color w:val="334155"/>
                <w:sz w:val="20"/>
              </w:rPr>
              <w:t>(f) generating a digital machine-control grading file comprising three-dimensional coordinates for an automated agricultural earthmoving tractor to construct a modified contour terrace crest height when said overtopping probability exceeds an acceptable engineering risk threshold."</w:t>
            </w:r>
          </w:p>
        </w:tc>
      </w:tr>
    </w:tbl>
    <w:p>
      <w:pPr>
        <w:spacing w:after="80"/>
      </w:pPr>
    </w:p>
    <w:p>
      <w:pPr>
        <w:spacing w:before="120" w:after="120"/>
        <w:pBdr>
          <w:bottom w:val="single" w:sz="8" w:space="1" w:color="D0D5DD"/>
        </w:pBdr>
      </w:pPr>
    </w:p>
    <w:p>
      <w:pPr>
        <w:spacing w:before="240" w:after="60"/>
      </w:pPr>
      <w:r>
        <w:rPr>
          <w:rFonts w:ascii="Calibri" w:hAnsi="Calibri"/>
          <w:b/>
          <w:color w:val="1C6EA4"/>
          <w:sz w:val="32"/>
        </w:rPr>
        <w:t>5. Fast-Track Examination via *Patentes Verdes* (Green Patents)</w:t>
      </w:r>
    </w:p>
    <w:p>
      <w:pPr>
        <w:spacing w:before="200" w:after="40"/>
      </w:pPr>
      <w:r>
        <w:rPr>
          <w:rFonts w:ascii="Calibri" w:hAnsi="Calibri"/>
          <w:b/>
          <w:color w:val="102C57"/>
          <w:sz w:val="26"/>
        </w:rPr>
        <w:t>5.1 Regulatory Framework (Portaria INPI/PR nº 247/2020)</w:t>
      </w:r>
    </w:p>
    <w:p>
      <w:pPr>
        <w:spacing w:before="40" w:after="80"/>
      </w:pPr>
      <w:r>
        <w:rPr>
          <w:rFonts w:ascii="Calibri" w:hAnsi="Calibri"/>
          <w:color w:val="212529"/>
          <w:sz w:val="22"/>
        </w:rPr>
        <w:t xml:space="preserve">Under </w:t>
      </w:r>
      <w:r>
        <w:rPr>
          <w:rFonts w:ascii="Calibri" w:hAnsi="Calibri"/>
          <w:b/>
          <w:color w:val="212529"/>
          <w:sz w:val="22"/>
        </w:rPr>
        <w:t>Portaria INPI/PR nº 247, de 22 de junho de 2020</w:t>
      </w:r>
      <w:r>
        <w:rPr>
          <w:rFonts w:ascii="Calibri" w:hAnsi="Calibri"/>
          <w:color w:val="212529"/>
          <w:sz w:val="22"/>
        </w:rPr>
        <w:t>, INPI provides a permanent, fast-track prioritized examination program (</w:t>
      </w:r>
      <w:r>
        <w:rPr>
          <w:rFonts w:ascii="Calibri" w:hAnsi="Calibri"/>
          <w:i/>
          <w:color w:val="212529"/>
          <w:sz w:val="22"/>
        </w:rPr>
        <w:t>trâmite prioritário</w:t>
      </w:r>
      <w:r>
        <w:rPr>
          <w:rFonts w:ascii="Calibri" w:hAnsi="Calibri"/>
          <w:color w:val="212529"/>
          <w:sz w:val="22"/>
        </w:rPr>
        <w:t>) for patent applications covering green technologies (</w:t>
      </w:r>
      <w:r>
        <w:rPr>
          <w:rFonts w:ascii="Calibri" w:hAnsi="Calibri"/>
          <w:i/>
          <w:color w:val="212529"/>
          <w:sz w:val="22"/>
        </w:rPr>
        <w:t>Patentes Verdes</w:t>
      </w:r>
      <w:r>
        <w:rPr>
          <w:rFonts w:ascii="Calibri" w:hAnsi="Calibri"/>
          <w:color w:val="212529"/>
          <w:sz w:val="22"/>
        </w:rPr>
        <w:t>).</w:t>
      </w:r>
    </w:p>
    <w:p>
      <w:pPr>
        <w:pStyle w:val="ListBullet"/>
        <w:spacing w:before="20" w:after="40"/>
      </w:pPr>
      <w:r>
        <w:rPr>
          <w:rFonts w:ascii="Calibri" w:hAnsi="Calibri"/>
          <w:b/>
          <w:color w:val="212529"/>
          <w:sz w:val="22"/>
        </w:rPr>
        <w:t>Statutory Review Latency Reduction</w:t>
      </w:r>
      <w:r>
        <w:rPr>
          <w:rFonts w:ascii="Calibri" w:hAnsi="Calibri"/>
          <w:color w:val="212529"/>
          <w:sz w:val="22"/>
        </w:rPr>
        <w:t xml:space="preserve">: Standard patent prosecution in Brazil historically averages </w:t>
      </w:r>
      <w:r>
        <w:rPr>
          <w:rFonts w:ascii="Calibri" w:hAnsi="Calibri"/>
          <w:b/>
          <w:color w:val="212529"/>
          <w:sz w:val="22"/>
        </w:rPr>
        <w:t>3.5 to 5.5 years</w:t>
      </w:r>
      <w:r>
        <w:rPr>
          <w:rFonts w:ascii="Calibri" w:hAnsi="Calibri"/>
          <w:color w:val="212529"/>
          <w:sz w:val="22"/>
        </w:rPr>
        <w:t xml:space="preserve">. Under the </w:t>
      </w:r>
      <w:r>
        <w:rPr>
          <w:rFonts w:ascii="Calibri" w:hAnsi="Calibri"/>
          <w:i/>
          <w:color w:val="212529"/>
          <w:sz w:val="22"/>
        </w:rPr>
        <w:t>Patentes Verdes</w:t>
      </w:r>
      <w:r>
        <w:rPr>
          <w:rFonts w:ascii="Calibri" w:hAnsi="Calibri"/>
          <w:color w:val="212529"/>
          <w:sz w:val="22"/>
        </w:rPr>
        <w:t xml:space="preserve"> fast-track docket, the first substantive technical examination office action is rendered within </w:t>
      </w:r>
      <w:r>
        <w:rPr>
          <w:rFonts w:ascii="Calibri" w:hAnsi="Calibri"/>
          <w:b/>
          <w:color w:val="212529"/>
          <w:sz w:val="22"/>
        </w:rPr>
        <w:t>9 to 12 months</w:t>
      </w:r>
      <w:r>
        <w:rPr>
          <w:rFonts w:ascii="Calibri" w:hAnsi="Calibri"/>
          <w:color w:val="212529"/>
          <w:sz w:val="22"/>
        </w:rPr>
        <w:t xml:space="preserve"> of filing.</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200" w:type="dxa"/>
              <w:right w:w="200" w:type="dxa"/>
            </w:tcMar>
          </w:tcPr>
          <w:p>
            <w:pPr>
              <w:spacing w:before="40" w:after="40"/>
            </w:pPr>
            <w:r>
              <w:rPr>
                <w:rFonts w:ascii="Consolas" w:hAnsi="Consolas"/>
                <w:color w:val="1E293B"/>
                <w:sz w:val="17"/>
              </w:rPr>
              <w:t>┌────────────────────────────────────────────────────────────────────────────────────────┐</w:t>
              <w:br/>
              <w:t>│                        INPI PATENT PROSECUTION PATHWAYS                                │</w:t>
              <w:br/>
              <w:t>├───────────────────────────────────┬────────────────────────────────────────────────────┤</w:t>
              <w:br/>
              <w:t>│ STANDARD INPI DOCKET              │ GREEN PATENTS FAST-TRACK (PORTARIA 247/2020)       │</w:t>
              <w:br/>
              <w:t>├───────────────────────────────────┼────────────────────────────────────────────────────┤</w:t>
              <w:br/>
              <w:t>│ • Examination Latency: 3-5 years. │ • First Technical Office Action: 9-12 months.      │</w:t>
              <w:br/>
              <w:t>│ • Commercial uncertainty.         │ • Substantive patent grant: 14-18 months.          │</w:t>
              <w:br/>
              <w:t>│ • Delayed licensing power.        │ • Immediate injunctive enforcement in credit litigation│</w:t>
              <w:br/>
              <w:t>└───────────────────────────────────┴────────────────────────────────────────────────────┘</w:t>
            </w:r>
          </w:p>
        </w:tc>
      </w:tr>
    </w:tbl>
    <w:p>
      <w:pPr>
        <w:spacing w:after="80"/>
      </w:pPr>
    </w:p>
    <w:p>
      <w:pPr>
        <w:spacing w:before="200" w:after="40"/>
      </w:pPr>
      <w:r>
        <w:rPr>
          <w:rFonts w:ascii="Calibri" w:hAnsi="Calibri"/>
          <w:b/>
          <w:color w:val="102C57"/>
          <w:sz w:val="26"/>
        </w:rPr>
        <w:t>5.2 Agrostech Eligibility &amp; Technical Justification</w:t>
      </w:r>
    </w:p>
    <w:p>
      <w:pPr>
        <w:spacing w:before="40" w:after="80"/>
      </w:pPr>
      <w:r>
        <w:rPr>
          <w:rFonts w:ascii="Calibri" w:hAnsi="Calibri"/>
          <w:color w:val="212529"/>
          <w:sz w:val="22"/>
        </w:rPr>
        <w:t>Agrostech’s patent applications qualify under the official WIPO/INPI Green Technology Classification List:</w:t>
      </w:r>
    </w:p>
    <w:p>
      <w:pPr>
        <w:pStyle w:val="ListNumber"/>
        <w:spacing w:before="20" w:after="40"/>
      </w:pPr>
      <w:r>
        <w:rPr>
          <w:rFonts w:ascii="Calibri" w:hAnsi="Calibri"/>
          <w:b/>
          <w:color w:val="212529"/>
          <w:sz w:val="22"/>
        </w:rPr>
        <w:t>Direction 3 (Probabilistic Hydrology &amp; Soil Conservation)</w:t>
      </w:r>
      <w:r>
        <w:rPr>
          <w:rFonts w:ascii="Calibri" w:hAnsi="Calibri"/>
          <w:color w:val="212529"/>
          <w:sz w:val="22"/>
        </w:rPr>
        <w:t>:</w:t>
      </w:r>
    </w:p>
    <w:p>
      <w:pPr>
        <w:pStyle w:val="ListBullet"/>
        <w:spacing w:before="20" w:after="40"/>
      </w:pPr>
      <w:r>
        <w:rPr>
          <w:rFonts w:ascii="Calibri" w:hAnsi="Calibri"/>
          <w:i/>
          <w:color w:val="212529"/>
          <w:sz w:val="22"/>
        </w:rPr>
        <w:t>Qualifying Category</w:t>
      </w:r>
      <w:r>
        <w:rPr>
          <w:rFonts w:ascii="Calibri" w:hAnsi="Calibri"/>
          <w:color w:val="212529"/>
          <w:sz w:val="22"/>
        </w:rPr>
        <w:t>: Agriculture / Soil and Water Conservation / Climate Change Adaptation.</w:t>
      </w:r>
    </w:p>
    <w:p>
      <w:pPr>
        <w:pStyle w:val="ListBullet"/>
        <w:spacing w:before="20" w:after="40"/>
      </w:pPr>
      <w:r>
        <w:rPr>
          <w:rFonts w:ascii="Calibri" w:hAnsi="Calibri"/>
          <w:i/>
          <w:color w:val="212529"/>
          <w:sz w:val="22"/>
        </w:rPr>
        <w:t>Justification</w:t>
      </w:r>
      <w:r>
        <w:rPr>
          <w:rFonts w:ascii="Calibri" w:hAnsi="Calibri"/>
          <w:color w:val="212529"/>
          <w:sz w:val="22"/>
        </w:rPr>
        <w:t>: Prevents irreversible topsoil loss, catastrophic gully formation (</w:t>
      </w:r>
      <w:r>
        <w:rPr>
          <w:rFonts w:ascii="Calibri" w:hAnsi="Calibri"/>
          <w:i/>
          <w:color w:val="212529"/>
          <w:sz w:val="22"/>
        </w:rPr>
        <w:t>voçorocas</w:t>
      </w:r>
      <w:r>
        <w:rPr>
          <w:rFonts w:ascii="Calibri" w:hAnsi="Calibri"/>
          <w:color w:val="212529"/>
          <w:sz w:val="22"/>
        </w:rPr>
        <w:t>), and water table siltation by engineering resilient contour terracing structures under extreme convective storm events.</w:t>
      </w:r>
    </w:p>
    <w:p>
      <w:pPr>
        <w:pStyle w:val="ListNumber"/>
        <w:spacing w:before="20" w:after="40"/>
      </w:pPr>
      <w:r>
        <w:rPr>
          <w:rFonts w:ascii="Calibri" w:hAnsi="Calibri"/>
          <w:b/>
          <w:color w:val="212529"/>
          <w:sz w:val="22"/>
        </w:rPr>
        <w:t>Direction 1 (Área Contínua &amp; Illegal Expansion Detection)</w:t>
      </w:r>
      <w:r>
        <w:rPr>
          <w:rFonts w:ascii="Calibri" w:hAnsi="Calibri"/>
          <w:color w:val="212529"/>
          <w:sz w:val="22"/>
        </w:rPr>
        <w:t>:</w:t>
      </w:r>
    </w:p>
    <w:p>
      <w:pPr>
        <w:pStyle w:val="ListBullet"/>
        <w:spacing w:before="20" w:after="40"/>
      </w:pPr>
      <w:r>
        <w:rPr>
          <w:rFonts w:ascii="Calibri" w:hAnsi="Calibri"/>
          <w:i/>
          <w:color w:val="212529"/>
          <w:sz w:val="22"/>
        </w:rPr>
        <w:t>Qualifying Category</w:t>
      </w:r>
      <w:r>
        <w:rPr>
          <w:rFonts w:ascii="Calibri" w:hAnsi="Calibri"/>
          <w:color w:val="212529"/>
          <w:sz w:val="22"/>
        </w:rPr>
        <w:t>: Environmental Monitoring / Protection of Native Forests and Biodiversity.</w:t>
      </w:r>
    </w:p>
    <w:p>
      <w:pPr>
        <w:pStyle w:val="ListBullet"/>
        <w:spacing w:before="20" w:after="40"/>
      </w:pPr>
      <w:r>
        <w:rPr>
          <w:rFonts w:ascii="Calibri" w:hAnsi="Calibri"/>
          <w:i/>
          <w:color w:val="212529"/>
          <w:sz w:val="22"/>
        </w:rPr>
        <w:t>Justification</w:t>
      </w:r>
      <w:r>
        <w:rPr>
          <w:rFonts w:ascii="Calibri" w:hAnsi="Calibri"/>
          <w:color w:val="212529"/>
          <w:sz w:val="22"/>
        </w:rPr>
        <w:t>: Eliminates the laundering of illegally cleared native vegetation and detects unauthorized agricultural encroachment into strictly protected Permanent Preservation Areas (Forest Code Art. 4º, V - 45° APP) and indigenous/conservation units.</w:t>
      </w:r>
    </w:p>
    <w:p>
      <w:pPr>
        <w:spacing w:before="120" w:after="120"/>
        <w:pBdr>
          <w:bottom w:val="single" w:sz="8" w:space="1" w:color="D0D5DD"/>
        </w:pBdr>
      </w:pPr>
    </w:p>
    <w:p>
      <w:pPr>
        <w:spacing w:before="240" w:after="60"/>
      </w:pPr>
      <w:r>
        <w:rPr>
          <w:rFonts w:ascii="Calibri" w:hAnsi="Calibri"/>
          <w:b/>
          <w:color w:val="1C6EA4"/>
          <w:sz w:val="32"/>
        </w:rPr>
        <w:t>6. International Patent Strategy (PCT Route)</w:t>
      </w:r>
    </w:p>
    <w:p>
      <w:pPr>
        <w:spacing w:before="40" w:after="80"/>
      </w:pPr>
      <w:r>
        <w:rPr>
          <w:rFonts w:ascii="Calibri" w:hAnsi="Calibri"/>
          <w:color w:val="212529"/>
          <w:sz w:val="22"/>
        </w:rPr>
        <w:t xml:space="preserve">To secure enterprise valuation for venture capital partners (SP Ventures) and enable commercial expansion into major agricultural economies across North and South America, Agrostech executes a disciplined </w:t>
      </w:r>
      <w:r>
        <w:rPr>
          <w:rFonts w:ascii="Calibri" w:hAnsi="Calibri"/>
          <w:b/>
          <w:color w:val="212529"/>
          <w:sz w:val="22"/>
        </w:rPr>
        <w:t>Patent Cooperation Treaty (PCT)</w:t>
      </w:r>
      <w:r>
        <w:rPr>
          <w:rFonts w:ascii="Calibri" w:hAnsi="Calibri"/>
          <w:color w:val="212529"/>
          <w:sz w:val="22"/>
        </w:rPr>
        <w:t xml:space="preserve"> strategy:</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200" w:type="dxa"/>
              <w:right w:w="200" w:type="dxa"/>
            </w:tcMar>
          </w:tcPr>
          <w:p>
            <w:pPr>
              <w:spacing w:before="40" w:after="40"/>
            </w:pPr>
            <w:r>
              <w:rPr>
                <w:rFonts w:ascii="Consolas" w:hAnsi="Consolas"/>
                <w:color w:val="1E293B"/>
                <w:sz w:val="17"/>
              </w:rPr>
              <w:t>Month 0: Priority Filing at INPI (Brazil)</w:t>
              <w:br/>
              <w:t xml:space="preserve"> │</w:t>
              <w:br/>
              <w:t xml:space="preserve"> ├──&gt; Immediate Request for "Patentes Verdes" Prioritized Examination</w:t>
              <w:br/>
              <w:t xml:space="preserve"> │</w:t>
              <w:br/>
              <w:t>Month 12: International PCT Filing (WIPO)</w:t>
              <w:br/>
              <w:t xml:space="preserve"> │</w:t>
              <w:br/>
              <w:t xml:space="preserve"> ├──&gt; Designation of Key Agricultural Jurisdictions:</w:t>
              <w:br/>
              <w:t xml:space="preserve"> │     • United States (USPTO)</w:t>
              <w:br/>
              <w:t xml:space="preserve"> │     • European Patent Office (EPO)</w:t>
              <w:br/>
              <w:t xml:space="preserve"> │     • Argentina (INPI AR)</w:t>
              <w:br/>
              <w:t xml:space="preserve"> │</w:t>
              <w:br/>
              <w:t>Month 30: National Stage Entry in Designated Offices</w:t>
            </w:r>
          </w:p>
        </w:tc>
      </w:tr>
    </w:tbl>
    <w:p>
      <w:pPr>
        <w:spacing w:after="80"/>
      </w:pPr>
    </w:p>
    <w:p>
      <w:pPr>
        <w:pStyle w:val="ListNumber"/>
        <w:spacing w:before="20" w:after="40"/>
      </w:pPr>
      <w:r>
        <w:rPr>
          <w:rFonts w:ascii="Calibri" w:hAnsi="Calibri"/>
          <w:b/>
          <w:color w:val="212529"/>
          <w:sz w:val="22"/>
        </w:rPr>
        <w:t>Priority Year (Month 0 to Month 12)</w:t>
      </w:r>
      <w:r>
        <w:rPr>
          <w:rFonts w:ascii="Calibri" w:hAnsi="Calibri"/>
          <w:color w:val="212529"/>
          <w:sz w:val="22"/>
        </w:rPr>
        <w:t>: File foundational Brazilian patent applications at INPI, establishing priority date under the Paris Convention.</w:t>
      </w:r>
    </w:p>
    <w:p>
      <w:pPr>
        <w:pStyle w:val="ListNumber"/>
        <w:spacing w:before="20" w:after="40"/>
      </w:pPr>
      <w:r>
        <w:rPr>
          <w:rFonts w:ascii="Calibri" w:hAnsi="Calibri"/>
          <w:b/>
          <w:color w:val="212529"/>
          <w:sz w:val="22"/>
        </w:rPr>
        <w:t>PCT Application (Month 12)</w:t>
      </w:r>
      <w:r>
        <w:rPr>
          <w:rFonts w:ascii="Calibri" w:hAnsi="Calibri"/>
          <w:color w:val="212529"/>
          <w:sz w:val="22"/>
        </w:rPr>
        <w:t>: File unified PCT application with the International Bureau of WIPO, referencing Brazilian priority numbers.</w:t>
      </w:r>
    </w:p>
    <w:p>
      <w:pPr>
        <w:pStyle w:val="ListNumber"/>
        <w:spacing w:before="20" w:after="40"/>
      </w:pPr>
      <w:r>
        <w:rPr>
          <w:rFonts w:ascii="Calibri" w:hAnsi="Calibri"/>
          <w:b/>
          <w:color w:val="212529"/>
          <w:sz w:val="22"/>
        </w:rPr>
        <w:t>National Stage Entry (Month 30)</w:t>
      </w:r>
      <w:r>
        <w:rPr>
          <w:rFonts w:ascii="Calibri" w:hAnsi="Calibri"/>
          <w:color w:val="212529"/>
          <w:sz w:val="22"/>
        </w:rPr>
        <w:t>: Enter national stages in target jurisdictions:</w:t>
      </w:r>
    </w:p>
    <w:p>
      <w:pPr>
        <w:pStyle w:val="ListBullet"/>
        <w:spacing w:before="20" w:after="40"/>
      </w:pPr>
      <w:r>
        <w:rPr>
          <w:rFonts w:ascii="Calibri" w:hAnsi="Calibri"/>
          <w:b/>
          <w:color w:val="212529"/>
          <w:sz w:val="22"/>
        </w:rPr>
        <w:t>United States (USPTO)</w:t>
      </w:r>
      <w:r>
        <w:rPr>
          <w:rFonts w:ascii="Calibri" w:hAnsi="Calibri"/>
          <w:color w:val="212529"/>
          <w:sz w:val="22"/>
        </w:rPr>
        <w:t>: Protects commercial enterprise licensing to US agricultural lenders, ag-retailers, and grain commodity traders (Cargill, ADM, Bunge).</w:t>
      </w:r>
    </w:p>
    <w:p>
      <w:pPr>
        <w:pStyle w:val="ListBullet"/>
        <w:spacing w:before="20" w:after="40"/>
      </w:pPr>
      <w:r>
        <w:rPr>
          <w:rFonts w:ascii="Calibri" w:hAnsi="Calibri"/>
          <w:b/>
          <w:color w:val="212529"/>
          <w:sz w:val="22"/>
        </w:rPr>
        <w:t>Argentina (INPI AR)</w:t>
      </w:r>
      <w:r>
        <w:rPr>
          <w:rFonts w:ascii="Calibri" w:hAnsi="Calibri"/>
          <w:color w:val="212529"/>
          <w:sz w:val="22"/>
        </w:rPr>
        <w:t>: Expansion into South American Pampas grain belts operating under similar direct-planting and rural credit structures.</w:t>
      </w:r>
    </w:p>
    <w:p>
      <w:pPr>
        <w:pStyle w:val="ListBullet"/>
        <w:spacing w:before="20" w:after="40"/>
      </w:pPr>
      <w:r>
        <w:rPr>
          <w:rFonts w:ascii="Calibri" w:hAnsi="Calibri"/>
          <w:b/>
          <w:color w:val="212529"/>
          <w:sz w:val="22"/>
        </w:rPr>
        <w:t>European Union (EPO)</w:t>
      </w:r>
      <w:r>
        <w:rPr>
          <w:rFonts w:ascii="Calibri" w:hAnsi="Calibri"/>
          <w:color w:val="212529"/>
          <w:sz w:val="22"/>
        </w:rPr>
        <w:t>: Enforces compliance with EU Deforestation Regulation (EUDR) for grain and meat imports traced to Brazilian holdings.</w:t>
      </w:r>
    </w:p>
    <w:p>
      <w:pPr>
        <w:spacing w:before="120" w:after="120"/>
        <w:pBdr>
          <w:bottom w:val="single" w:sz="8" w:space="1" w:color="D0D5DD"/>
        </w:pBdr>
      </w:pPr>
    </w:p>
    <w:p>
      <w:pPr>
        <w:spacing w:before="240" w:after="60"/>
      </w:pPr>
      <w:r>
        <w:rPr>
          <w:rFonts w:ascii="Calibri" w:hAnsi="Calibri"/>
          <w:b/>
          <w:color w:val="1C6EA4"/>
          <w:sz w:val="32"/>
        </w:rPr>
        <w:t>7. Trade Secret Moat &amp; Defensibility Architecture</w:t>
      </w:r>
    </w:p>
    <w:p>
      <w:pPr>
        <w:spacing w:before="40" w:after="80"/>
      </w:pPr>
      <w:r>
        <w:rPr>
          <w:rFonts w:ascii="Calibri" w:hAnsi="Calibri"/>
          <w:color w:val="212529"/>
          <w:sz w:val="22"/>
        </w:rPr>
        <w:t>Certain core operational components are strategically withheld from patent publication to establish an enduring, un-reverse-engineerable trade secret moat (</w:t>
      </w:r>
      <w:r>
        <w:rPr>
          <w:rFonts w:ascii="Calibri" w:hAnsi="Calibri"/>
          <w:i/>
          <w:color w:val="212529"/>
          <w:sz w:val="22"/>
        </w:rPr>
        <w:t>Segredo Industrial</w:t>
      </w:r>
      <w:r>
        <w:rPr>
          <w:rFonts w:ascii="Calibri" w:hAnsi="Calibri"/>
          <w:color w:val="212529"/>
          <w:sz w:val="22"/>
        </w:rPr>
        <w:t xml:space="preserve">), legally protected under </w:t>
      </w:r>
      <w:r>
        <w:rPr>
          <w:rFonts w:ascii="Calibri" w:hAnsi="Calibri"/>
          <w:b/>
          <w:color w:val="212529"/>
          <w:sz w:val="22"/>
        </w:rPr>
        <w:t>Lei Federal nº 9.279/1996, Art. 195 (Concorrência Desleal)</w:t>
      </w:r>
      <w:r>
        <w:rPr>
          <w:rFonts w:ascii="Calibri" w:hAnsi="Calibri"/>
          <w:color w:val="212529"/>
          <w:sz w:val="22"/>
        </w:rPr>
        <w:t>:</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200" w:type="dxa"/>
              <w:right w:w="200" w:type="dxa"/>
            </w:tcMar>
          </w:tcPr>
          <w:p>
            <w:pPr>
              <w:spacing w:before="40" w:after="40"/>
            </w:pPr>
            <w:r>
              <w:rPr>
                <w:rFonts w:ascii="Consolas" w:hAnsi="Consolas"/>
                <w:color w:val="1E293B"/>
                <w:sz w:val="17"/>
              </w:rPr>
              <w:t>┌────────────────────────────────────────────────────────────────────────────────────────┐</w:t>
              <w:br/>
              <w:t>│                        AGROSTECH TWO-TIER INTELLECTUAL PROPERTY MOAT                   │</w:t>
              <w:br/>
              <w:t>├────────────────────────────────────┬───────────────────────────────────────────────────┤</w:t>
              <w:br/>
              <w:t>│ PATENTED DOMAIN (PUBLIC DISCLOSURE)│ TRADE SECRET ENCLAVE (STRICT CONFIDENTIALITY)     │</w:t>
              <w:br/>
              <w:t>├────────────────────────────────────┼───────────────────────────────────────────────────┤</w:t>
              <w:br/>
              <w:t>│ • Core Physical Claims &amp; Process.  │ • Sensor Cross-Calibration Hyperparameter Matrices│</w:t>
              <w:br/>
              <w:t>│ • System Interaction Architecture. │ • Empirical Dielectric Soil Moisture Curves.      │</w:t>
              <w:br/>
              <w:t>│ • Decision-Theoretic Framework.    │ • Neural Edge Feature Weights &amp; Loss Multipliers. │</w:t>
              <w:br/>
              <w:t>│ • Stochastic Error Modeling Method.│ • ICP-Brasil Audit Trail Cryptographic Hash Salts. │</w:t>
              <w:br/>
              <w:t>└────────────────────────────────────┴───────────────────────────────────────────────────┘</w:t>
            </w:r>
          </w:p>
        </w:tc>
      </w:tr>
    </w:tbl>
    <w:p>
      <w:pPr>
        <w:spacing w:after="80"/>
      </w:pPr>
    </w:p>
    <w:p>
      <w:pPr>
        <w:pStyle w:val="ListNumber"/>
        <w:spacing w:before="20" w:after="40"/>
      </w:pPr>
      <w:r>
        <w:rPr>
          <w:rFonts w:ascii="Calibri" w:hAnsi="Calibri"/>
          <w:b/>
          <w:color w:val="212529"/>
          <w:sz w:val="22"/>
        </w:rPr>
        <w:t>Sensor Cross-Calibration Hyperparameter Matrices</w:t>
      </w:r>
      <w:r>
        <w:rPr>
          <w:rFonts w:ascii="Calibri" w:hAnsi="Calibri"/>
          <w:color w:val="212529"/>
          <w:sz w:val="22"/>
        </w:rPr>
        <w:t>: The empirical cross-calibration factors harmonizing Sentinel-1 C-band synthetic aperture radar with commercial sub-meter X-band SAR (TerraSAR-X / Umbra) and optical PlanetScope constellations remain locked in Agrostech's secure cloud repository.</w:t>
      </w:r>
    </w:p>
    <w:p>
      <w:pPr>
        <w:pStyle w:val="ListNumber"/>
        <w:spacing w:before="20" w:after="40"/>
      </w:pPr>
      <w:r>
        <w:rPr>
          <w:rFonts w:ascii="Calibri" w:hAnsi="Calibri"/>
          <w:b/>
          <w:color w:val="212529"/>
          <w:sz w:val="22"/>
        </w:rPr>
        <w:t>Regional Dielectric Soil Moisture Curves</w:t>
      </w:r>
      <w:r>
        <w:rPr>
          <w:rFonts w:ascii="Calibri" w:hAnsi="Calibri"/>
          <w:color w:val="212529"/>
          <w:sz w:val="22"/>
        </w:rPr>
        <w:t>: The non-linear conversion parameters translating microwave dielectric permittivity into volumetric soil moisture across weathered tropical Oxisols (</w:t>
      </w:r>
      <w:r>
        <w:rPr>
          <w:rFonts w:ascii="Calibri" w:hAnsi="Calibri"/>
          <w:i/>
          <w:color w:val="212529"/>
          <w:sz w:val="22"/>
        </w:rPr>
        <w:t>Latossolos Vermelhos e Amarelos</w:t>
      </w:r>
      <w:r>
        <w:rPr>
          <w:rFonts w:ascii="Calibri" w:hAnsi="Calibri"/>
          <w:color w:val="212529"/>
          <w:sz w:val="22"/>
        </w:rPr>
        <w:t>) are protected trade secrets.</w:t>
      </w:r>
    </w:p>
    <w:p>
      <w:pPr>
        <w:pStyle w:val="ListNumber"/>
        <w:spacing w:before="20" w:after="40"/>
      </w:pPr>
      <w:r>
        <w:rPr>
          <w:rFonts w:ascii="Calibri" w:hAnsi="Calibri"/>
          <w:b/>
          <w:color w:val="212529"/>
          <w:sz w:val="22"/>
        </w:rPr>
        <w:t>Cryptographic Compliance Ledger</w:t>
      </w:r>
      <w:r>
        <w:rPr>
          <w:rFonts w:ascii="Calibri" w:hAnsi="Calibri"/>
          <w:color w:val="212529"/>
          <w:sz w:val="22"/>
        </w:rPr>
        <w:t>: Audit trail dossiers generated for financial institutions are cryptographically signed using ICP-Brasil digital certificates (A3 / PAdES standard) with SHA-256 hash chains, providing legally unassailable evidentiary standing under the Brazilian Code of Civil Procedure (</w:t>
      </w:r>
      <w:r>
        <w:rPr>
          <w:rFonts w:ascii="Calibri" w:hAnsi="Calibri"/>
          <w:i/>
          <w:color w:val="212529"/>
          <w:sz w:val="22"/>
        </w:rPr>
        <w:t>Código de Processo Civil - Arts. 300, 301, 411</w:t>
      </w:r>
      <w:r>
        <w:rPr>
          <w:rFonts w:ascii="Calibri" w:hAnsi="Calibri"/>
          <w:color w:val="212529"/>
          <w:sz w:val="22"/>
        </w:rPr>
        <w:t>).</w:t>
      </w:r>
    </w:p>
    <w:p>
      <w:pPr>
        <w:spacing w:before="120" w:after="120"/>
        <w:pBdr>
          <w:bottom w:val="single" w:sz="8" w:space="1" w:color="D0D5DD"/>
        </w:pBdr>
      </w:pPr>
    </w:p>
    <w:p>
      <w:pPr>
        <w:spacing w:before="240" w:after="60"/>
      </w:pPr>
      <w:r>
        <w:rPr>
          <w:rFonts w:ascii="Calibri" w:hAnsi="Calibri"/>
          <w:b/>
          <w:color w:val="1C6EA4"/>
          <w:sz w:val="32"/>
        </w:rPr>
        <w:t>8. Conclusion &amp; FTO Certification</w:t>
      </w:r>
    </w:p>
    <w:p>
      <w:pPr>
        <w:pStyle w:val="ListNumber"/>
        <w:spacing w:before="20" w:after="40"/>
      </w:pPr>
      <w:r>
        <w:rPr>
          <w:rFonts w:ascii="Calibri" w:hAnsi="Calibri"/>
          <w:b/>
          <w:color w:val="212529"/>
          <w:sz w:val="22"/>
        </w:rPr>
        <w:t>Freedom to Operate Certified</w:t>
      </w:r>
      <w:r>
        <w:rPr>
          <w:rFonts w:ascii="Calibri" w:hAnsi="Calibri"/>
          <w:color w:val="212529"/>
          <w:sz w:val="22"/>
        </w:rPr>
        <w:t>: Agrostech’s three R&amp;D candidates operate in uncrowded, defensible white space. No domestic or international patents block the development, deployment, or commercial monetization of these technologies.</w:t>
      </w:r>
    </w:p>
    <w:p>
      <w:pPr>
        <w:pStyle w:val="ListNumber"/>
        <w:spacing w:before="20" w:after="40"/>
      </w:pPr>
      <w:r>
        <w:rPr>
          <w:rFonts w:ascii="Calibri" w:hAnsi="Calibri"/>
          <w:b/>
          <w:color w:val="212529"/>
          <w:sz w:val="22"/>
        </w:rPr>
        <w:t>Defensible Technological Moat</w:t>
      </w:r>
      <w:r>
        <w:rPr>
          <w:rFonts w:ascii="Calibri" w:hAnsi="Calibri"/>
          <w:color w:val="212529"/>
          <w:sz w:val="22"/>
        </w:rPr>
        <w:t>: Existing industry solutions remain trapped in static, single-parcel, deterministic paradigms. Agrostech’s transition to multi-modal synchrony fusion, decision-theoretic drone dispatch, and probabilistic hydrological perturbation creates an institutional-grade barrier to entry.</w:t>
      </w:r>
    </w:p>
    <w:p>
      <w:pPr>
        <w:pStyle w:val="ListNumber"/>
        <w:spacing w:before="20" w:after="40"/>
      </w:pPr>
      <w:r>
        <w:rPr>
          <w:rFonts w:ascii="Calibri" w:hAnsi="Calibri"/>
          <w:b/>
          <w:color w:val="212529"/>
          <w:sz w:val="22"/>
        </w:rPr>
        <w:t>Optimized for Venture Scale</w:t>
      </w:r>
      <w:r>
        <w:rPr>
          <w:rFonts w:ascii="Calibri" w:hAnsi="Calibri"/>
          <w:color w:val="212529"/>
          <w:sz w:val="22"/>
        </w:rPr>
        <w:t>: The dual strategy of fast-tracked INPI Green Patents, international PCT expansion, and proprietary trade secrets provides robust legal defensibility for institutional equity partners (SP Ventures) and commercial bank syndicates.</w:t>
      </w:r>
    </w:p>
    <w:p>
      <w:pPr>
        <w:spacing w:before="120" w:after="120"/>
        <w:pBdr>
          <w:bottom w:val="single" w:sz="8" w:space="1" w:color="D0D5DD"/>
        </w:pBdr>
      </w:pPr>
    </w:p>
    <w:p>
      <w:pPr>
        <w:spacing w:before="40" w:after="80"/>
      </w:pPr>
      <w:r>
        <w:rPr>
          <w:rFonts w:ascii="Calibri" w:hAnsi="Calibri"/>
          <w:i/>
          <w:color w:val="212529"/>
          <w:sz w:val="22"/>
        </w:rPr>
        <w:t>Report certified autonomously by Technical &amp; Executive Dossier Worker `worker_dossier` pursuant to AGRO-RD-2026 specifications.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