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Table 1. </w:t>
      </w:r>
      <w:r w:rsidDel="00000000" w:rsidR="00000000" w:rsidRPr="00000000">
        <w:rPr>
          <w:rFonts w:ascii="Times New Roman" w:cs="Times New Roman" w:eastAsia="Times New Roman" w:hAnsi="Times New Roman"/>
          <w:sz w:val="24"/>
          <w:szCs w:val="24"/>
          <w:highlight w:val="white"/>
          <w:rtl w:val="0"/>
        </w:rPr>
        <w:t xml:space="preserve">Overview of the selected Papers and the identified factors that drive ESG adoption</w:t>
      </w:r>
    </w:p>
    <w:p w:rsidR="00000000" w:rsidDel="00000000" w:rsidP="00000000" w:rsidRDefault="00000000" w:rsidRPr="00000000" w14:paraId="00000002">
      <w:pPr>
        <w:rPr>
          <w:rFonts w:ascii="Times New Roman" w:cs="Times New Roman" w:eastAsia="Times New Roman" w:hAnsi="Times New Roman"/>
          <w:sz w:val="24"/>
          <w:szCs w:val="24"/>
          <w:highlight w:val="white"/>
        </w:rPr>
      </w:pPr>
      <w:r w:rsidDel="00000000" w:rsidR="00000000" w:rsidRPr="00000000">
        <w:rPr>
          <w:rtl w:val="0"/>
        </w:rPr>
      </w:r>
    </w:p>
    <w:tbl>
      <w:tblPr>
        <w:tblStyle w:val="Table1"/>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1155"/>
        <w:gridCol w:w="1200"/>
        <w:gridCol w:w="690"/>
        <w:gridCol w:w="4785"/>
        <w:tblGridChange w:id="0">
          <w:tblGrid>
            <w:gridCol w:w="795"/>
            <w:gridCol w:w="1155"/>
            <w:gridCol w:w="1200"/>
            <w:gridCol w:w="690"/>
            <w:gridCol w:w="4785"/>
          </w:tblGrid>
        </w:tblGridChange>
      </w:tblGrid>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Paper No.</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Authors </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Region of Focus</w:t>
            </w: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Type of Paper</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Factors</w:t>
            </w:r>
            <w:r w:rsidDel="00000000" w:rsidR="00000000" w:rsidRPr="00000000">
              <w:rPr>
                <w:rtl w:val="0"/>
              </w:rPr>
            </w:r>
          </w:p>
        </w:tc>
      </w:tr>
      <w:tr>
        <w:trPr>
          <w:cantSplit w:val="0"/>
          <w:trHeight w:val="96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Khamisu et al. (2024)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India</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(F2:</w:t>
            </w:r>
            <w:r w:rsidDel="00000000" w:rsidR="00000000" w:rsidRPr="00000000">
              <w:rPr>
                <w:rFonts w:ascii="Times New Roman" w:cs="Times New Roman" w:eastAsia="Times New Roman" w:hAnsi="Times New Roman"/>
                <w:sz w:val="20"/>
                <w:szCs w:val="20"/>
                <w:rtl w:val="0"/>
              </w:rPr>
              <w:t xml:space="preserve"> Profitability and Resource Allocation)</w:t>
            </w:r>
          </w:p>
        </w:tc>
      </w:tr>
      <w:tr>
        <w:trPr>
          <w:cantSplit w:val="0"/>
          <w:trHeight w:val="17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Martiny et al. (2024)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Global</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LR</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(F5:</w:t>
            </w:r>
            <w:r w:rsidDel="00000000" w:rsidR="00000000" w:rsidRPr="00000000">
              <w:rPr>
                <w:rFonts w:ascii="Times New Roman" w:cs="Times New Roman" w:eastAsia="Times New Roman" w:hAnsi="Times New Roman"/>
                <w:sz w:val="20"/>
                <w:szCs w:val="20"/>
                <w:rtl w:val="0"/>
              </w:rPr>
              <w:t xml:space="preserve"> Sustainability Accounting Standards Board (SASB), Task Force on Climate-related Financial Disclosures (TCFD), CDP (Carbon Disclosure Project), Integrated Reporting Framework (&lt;IR&gt;), EU Non-Financial Reporting Directive (NFRD), ISO 26000, Global Reporting Initiative (GRI)) |</w:t>
              <w:br w:type="textWrapping"/>
            </w:r>
            <w:r w:rsidDel="00000000" w:rsidR="00000000" w:rsidRPr="00000000">
              <w:rPr>
                <w:rFonts w:ascii="Times New Roman" w:cs="Times New Roman" w:eastAsia="Times New Roman" w:hAnsi="Times New Roman"/>
                <w:b w:val="1"/>
                <w:sz w:val="20"/>
                <w:szCs w:val="20"/>
                <w:rtl w:val="0"/>
              </w:rPr>
              <w:t xml:space="preserve">(F13</w:t>
            </w:r>
            <w:r w:rsidDel="00000000" w:rsidR="00000000" w:rsidRPr="00000000">
              <w:rPr>
                <w:rFonts w:ascii="Times New Roman" w:cs="Times New Roman" w:eastAsia="Times New Roman" w:hAnsi="Times New Roman"/>
                <w:sz w:val="20"/>
                <w:szCs w:val="20"/>
                <w:rtl w:val="0"/>
              </w:rPr>
              <w:t xml:space="preserve">: Profitability and Financial Performance) | </w:t>
            </w:r>
          </w:p>
          <w:p w:rsidR="00000000" w:rsidDel="00000000" w:rsidP="00000000" w:rsidRDefault="00000000" w:rsidRPr="00000000" w14:paraId="0000001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F2</w:t>
            </w:r>
            <w:r w:rsidDel="00000000" w:rsidR="00000000" w:rsidRPr="00000000">
              <w:rPr>
                <w:rFonts w:ascii="Times New Roman" w:cs="Times New Roman" w:eastAsia="Times New Roman" w:hAnsi="Times New Roman"/>
                <w:sz w:val="20"/>
                <w:szCs w:val="20"/>
                <w:rtl w:val="0"/>
              </w:rPr>
              <w:t xml:space="preserve">: Profitability and Resource Allocation) | </w:t>
              <w:br w:type="textWrapping"/>
              <w:t xml:space="preserve">(</w:t>
            </w:r>
            <w:r w:rsidDel="00000000" w:rsidR="00000000" w:rsidRPr="00000000">
              <w:rPr>
                <w:rFonts w:ascii="Times New Roman" w:cs="Times New Roman" w:eastAsia="Times New Roman" w:hAnsi="Times New Roman"/>
                <w:b w:val="1"/>
                <w:sz w:val="20"/>
                <w:szCs w:val="20"/>
                <w:rtl w:val="0"/>
              </w:rPr>
              <w:t xml:space="preserve">F7</w:t>
            </w:r>
            <w:r w:rsidDel="00000000" w:rsidR="00000000" w:rsidRPr="00000000">
              <w:rPr>
                <w:rFonts w:ascii="Times New Roman" w:cs="Times New Roman" w:eastAsia="Times New Roman" w:hAnsi="Times New Roman"/>
                <w:sz w:val="20"/>
                <w:szCs w:val="20"/>
                <w:rtl w:val="0"/>
              </w:rPr>
              <w:t xml:space="preserve">: Gender)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br w:type="textWrapping"/>
              <w:t xml:space="preserve">(</w:t>
            </w:r>
            <w:r w:rsidDel="00000000" w:rsidR="00000000" w:rsidRPr="00000000">
              <w:rPr>
                <w:rFonts w:ascii="Times New Roman" w:cs="Times New Roman" w:eastAsia="Times New Roman" w:hAnsi="Times New Roman"/>
                <w:b w:val="1"/>
                <w:sz w:val="20"/>
                <w:szCs w:val="20"/>
                <w:rtl w:val="0"/>
              </w:rPr>
              <w:t xml:space="preserve">F14</w:t>
            </w:r>
            <w:r w:rsidDel="00000000" w:rsidR="00000000" w:rsidRPr="00000000">
              <w:rPr>
                <w:rFonts w:ascii="Times New Roman" w:cs="Times New Roman" w:eastAsia="Times New Roman" w:hAnsi="Times New Roman"/>
                <w:sz w:val="20"/>
                <w:szCs w:val="20"/>
                <w:rtl w:val="0"/>
              </w:rPr>
              <w:t xml:space="preserve">: Investors) | </w:t>
              <w:br w:type="textWrapping"/>
              <w:t xml:space="preserve">(</w:t>
            </w:r>
            <w:r w:rsidDel="00000000" w:rsidR="00000000" w:rsidRPr="00000000">
              <w:rPr>
                <w:rFonts w:ascii="Times New Roman" w:cs="Times New Roman" w:eastAsia="Times New Roman" w:hAnsi="Times New Roman"/>
                <w:b w:val="1"/>
                <w:sz w:val="20"/>
                <w:szCs w:val="20"/>
                <w:rtl w:val="0"/>
              </w:rPr>
              <w:t xml:space="preserve">Formal Institutions</w:t>
            </w:r>
            <w:r w:rsidDel="00000000" w:rsidR="00000000" w:rsidRPr="00000000">
              <w:rPr>
                <w:rFonts w:ascii="Times New Roman" w:cs="Times New Roman" w:eastAsia="Times New Roman" w:hAnsi="Times New Roman"/>
                <w:sz w:val="20"/>
                <w:szCs w:val="20"/>
                <w:rtl w:val="0"/>
              </w:rPr>
              <w:t xml:space="preserve">: Democracy; Political stability; Educational systems; Corruption levels)| (</w:t>
            </w:r>
            <w:r w:rsidDel="00000000" w:rsidR="00000000" w:rsidRPr="00000000">
              <w:rPr>
                <w:rFonts w:ascii="Times New Roman" w:cs="Times New Roman" w:eastAsia="Times New Roman" w:hAnsi="Times New Roman"/>
                <w:b w:val="1"/>
                <w:sz w:val="20"/>
                <w:szCs w:val="20"/>
                <w:rtl w:val="0"/>
              </w:rPr>
              <w:t xml:space="preserve">Informal Institutions</w:t>
            </w:r>
            <w:r w:rsidDel="00000000" w:rsidR="00000000" w:rsidRPr="00000000">
              <w:rPr>
                <w:rFonts w:ascii="Times New Roman" w:cs="Times New Roman" w:eastAsia="Times New Roman" w:hAnsi="Times New Roman"/>
                <w:sz w:val="20"/>
                <w:szCs w:val="20"/>
                <w:rtl w:val="0"/>
              </w:rPr>
              <w:t xml:space="preserve">: Cultural Background; Media Pressures)</w:t>
            </w:r>
          </w:p>
        </w:tc>
      </w:tr>
      <w:tr>
        <w:trPr>
          <w:cantSplit w:val="0"/>
          <w:trHeight w:val="319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Khaw et al. (2024)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Global</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SLR</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F13</w:t>
            </w:r>
            <w:r w:rsidDel="00000000" w:rsidR="00000000" w:rsidRPr="00000000">
              <w:rPr>
                <w:rFonts w:ascii="Times New Roman" w:cs="Times New Roman" w:eastAsia="Times New Roman" w:hAnsi="Times New Roman"/>
                <w:sz w:val="20"/>
                <w:szCs w:val="20"/>
                <w:rtl w:val="0"/>
              </w:rPr>
              <w:t xml:space="preserve">: Profitability; Corporate governance; Firm Size) | </w:t>
              <w:br w:type="textWrapping"/>
              <w:t xml:space="preserve">(</w:t>
            </w:r>
            <w:r w:rsidDel="00000000" w:rsidR="00000000" w:rsidRPr="00000000">
              <w:rPr>
                <w:rFonts w:ascii="Times New Roman" w:cs="Times New Roman" w:eastAsia="Times New Roman" w:hAnsi="Times New Roman"/>
                <w:b w:val="1"/>
                <w:sz w:val="20"/>
                <w:szCs w:val="20"/>
                <w:rtl w:val="0"/>
              </w:rPr>
              <w:t xml:space="preserve">F2</w:t>
            </w:r>
            <w:r w:rsidDel="00000000" w:rsidR="00000000" w:rsidRPr="00000000">
              <w:rPr>
                <w:rFonts w:ascii="Times New Roman" w:cs="Times New Roman" w:eastAsia="Times New Roman" w:hAnsi="Times New Roman"/>
                <w:sz w:val="20"/>
                <w:szCs w:val="20"/>
                <w:rtl w:val="0"/>
              </w:rPr>
              <w:t xml:space="preserve">: Profitability) | </w:t>
              <w:br w:type="textWrapping"/>
              <w:t xml:space="preserve">(</w:t>
            </w:r>
            <w:r w:rsidDel="00000000" w:rsidR="00000000" w:rsidRPr="00000000">
              <w:rPr>
                <w:rFonts w:ascii="Times New Roman" w:cs="Times New Roman" w:eastAsia="Times New Roman" w:hAnsi="Times New Roman"/>
                <w:b w:val="1"/>
                <w:sz w:val="20"/>
                <w:szCs w:val="20"/>
                <w:rtl w:val="0"/>
              </w:rPr>
              <w:t xml:space="preserve">F7</w:t>
            </w:r>
            <w:r w:rsidDel="00000000" w:rsidR="00000000" w:rsidRPr="00000000">
              <w:rPr>
                <w:rFonts w:ascii="Times New Roman" w:cs="Times New Roman" w:eastAsia="Times New Roman" w:hAnsi="Times New Roman"/>
                <w:sz w:val="20"/>
                <w:szCs w:val="20"/>
                <w:rtl w:val="0"/>
              </w:rPr>
              <w:t xml:space="preserve">: Gender) | </w:t>
              <w:br w:type="textWrapping"/>
              <w:t xml:space="preserve">(</w:t>
            </w:r>
            <w:r w:rsidDel="00000000" w:rsidR="00000000" w:rsidRPr="00000000">
              <w:rPr>
                <w:rFonts w:ascii="Times New Roman" w:cs="Times New Roman" w:eastAsia="Times New Roman" w:hAnsi="Times New Roman"/>
                <w:b w:val="1"/>
                <w:sz w:val="20"/>
                <w:szCs w:val="20"/>
                <w:rtl w:val="0"/>
              </w:rPr>
              <w:t xml:space="preserve">F14</w:t>
            </w:r>
            <w:r w:rsidDel="00000000" w:rsidR="00000000" w:rsidRPr="00000000">
              <w:rPr>
                <w:rFonts w:ascii="Times New Roman" w:cs="Times New Roman" w:eastAsia="Times New Roman" w:hAnsi="Times New Roman"/>
                <w:sz w:val="20"/>
                <w:szCs w:val="20"/>
                <w:rtl w:val="0"/>
              </w:rPr>
              <w:t xml:space="preserve">: Investors; Activist Investors; Institutional Investors; Shareholders; Employees; Media) | (</w:t>
            </w:r>
            <w:r w:rsidDel="00000000" w:rsidR="00000000" w:rsidRPr="00000000">
              <w:rPr>
                <w:rFonts w:ascii="Times New Roman" w:cs="Times New Roman" w:eastAsia="Times New Roman" w:hAnsi="Times New Roman"/>
                <w:b w:val="1"/>
                <w:sz w:val="20"/>
                <w:szCs w:val="20"/>
                <w:rtl w:val="0"/>
              </w:rPr>
              <w:t xml:space="preserve">F10</w:t>
            </w:r>
            <w:r w:rsidDel="00000000" w:rsidR="00000000" w:rsidRPr="00000000">
              <w:rPr>
                <w:rFonts w:ascii="Times New Roman" w:cs="Times New Roman" w:eastAsia="Times New Roman" w:hAnsi="Times New Roman"/>
                <w:sz w:val="20"/>
                <w:szCs w:val="20"/>
                <w:rtl w:val="0"/>
              </w:rPr>
              <w:t xml:space="preserve">: Accountability) | </w:t>
              <w:br w:type="textWrapping"/>
              <w:t xml:space="preserve">(</w:t>
            </w:r>
            <w:r w:rsidDel="00000000" w:rsidR="00000000" w:rsidRPr="00000000">
              <w:rPr>
                <w:rFonts w:ascii="Times New Roman" w:cs="Times New Roman" w:eastAsia="Times New Roman" w:hAnsi="Times New Roman"/>
                <w:b w:val="1"/>
                <w:sz w:val="20"/>
                <w:szCs w:val="20"/>
                <w:rtl w:val="0"/>
              </w:rPr>
              <w:t xml:space="preserve">F3</w:t>
            </w:r>
            <w:r w:rsidDel="00000000" w:rsidR="00000000" w:rsidRPr="00000000">
              <w:rPr>
                <w:rFonts w:ascii="Times New Roman" w:cs="Times New Roman" w:eastAsia="Times New Roman" w:hAnsi="Times New Roman"/>
                <w:sz w:val="20"/>
                <w:szCs w:val="20"/>
                <w:rtl w:val="0"/>
              </w:rPr>
              <w:t xml:space="preserve">: Pollution control and waste management) | (</w:t>
            </w:r>
            <w:r w:rsidDel="00000000" w:rsidR="00000000" w:rsidRPr="00000000">
              <w:rPr>
                <w:rFonts w:ascii="Times New Roman" w:cs="Times New Roman" w:eastAsia="Times New Roman" w:hAnsi="Times New Roman"/>
                <w:b w:val="1"/>
                <w:sz w:val="20"/>
                <w:szCs w:val="20"/>
                <w:rtl w:val="0"/>
              </w:rPr>
              <w:t xml:space="preserve">F12</w:t>
            </w:r>
            <w:r w:rsidDel="00000000" w:rsidR="00000000" w:rsidRPr="00000000">
              <w:rPr>
                <w:rFonts w:ascii="Times New Roman" w:cs="Times New Roman" w:eastAsia="Times New Roman" w:hAnsi="Times New Roman"/>
                <w:sz w:val="20"/>
                <w:szCs w:val="20"/>
                <w:rtl w:val="0"/>
              </w:rPr>
              <w:t xml:space="preserve">: Governance Approach; managerial exploitation reduction; CEO influence)</w:t>
            </w:r>
          </w:p>
        </w:tc>
      </w:tr>
      <w:tr>
        <w:trPr>
          <w:cantSplit w:val="0"/>
          <w:trHeight w:val="199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Bhaskaran et al. (2023).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Global</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F13</w:t>
            </w:r>
            <w:r w:rsidDel="00000000" w:rsidR="00000000" w:rsidRPr="00000000">
              <w:rPr>
                <w:rFonts w:ascii="Times New Roman" w:cs="Times New Roman" w:eastAsia="Times New Roman" w:hAnsi="Times New Roman"/>
                <w:sz w:val="20"/>
                <w:szCs w:val="20"/>
                <w:rtl w:val="0"/>
              </w:rPr>
              <w:t xml:space="preserve"> – Firm Size) | </w:t>
              <w:br w:type="textWrapping"/>
              <w:t xml:space="preserve">(</w:t>
            </w:r>
            <w:r w:rsidDel="00000000" w:rsidR="00000000" w:rsidRPr="00000000">
              <w:rPr>
                <w:rFonts w:ascii="Times New Roman" w:cs="Times New Roman" w:eastAsia="Times New Roman" w:hAnsi="Times New Roman"/>
                <w:b w:val="1"/>
                <w:sz w:val="20"/>
                <w:szCs w:val="20"/>
                <w:rtl w:val="0"/>
              </w:rPr>
              <w:t xml:space="preserve">F13</w:t>
            </w:r>
            <w:r w:rsidDel="00000000" w:rsidR="00000000" w:rsidRPr="00000000">
              <w:rPr>
                <w:rFonts w:ascii="Times New Roman" w:cs="Times New Roman" w:eastAsia="Times New Roman" w:hAnsi="Times New Roman"/>
                <w:sz w:val="20"/>
                <w:szCs w:val="20"/>
                <w:rtl w:val="0"/>
              </w:rPr>
              <w:t xml:space="preserve"> – Level of risk) | </w:t>
              <w:br w:type="textWrapping"/>
              <w:t xml:space="preserve">(</w:t>
            </w:r>
            <w:r w:rsidDel="00000000" w:rsidR="00000000" w:rsidRPr="00000000">
              <w:rPr>
                <w:rFonts w:ascii="Times New Roman" w:cs="Times New Roman" w:eastAsia="Times New Roman" w:hAnsi="Times New Roman"/>
                <w:b w:val="1"/>
                <w:sz w:val="20"/>
                <w:szCs w:val="20"/>
                <w:rtl w:val="0"/>
              </w:rPr>
              <w:t xml:space="preserve">F8</w:t>
            </w:r>
            <w:r w:rsidDel="00000000" w:rsidR="00000000" w:rsidRPr="00000000">
              <w:rPr>
                <w:rFonts w:ascii="Times New Roman" w:cs="Times New Roman" w:eastAsia="Times New Roman" w:hAnsi="Times New Roman"/>
                <w:sz w:val="20"/>
                <w:szCs w:val="20"/>
                <w:rtl w:val="0"/>
              </w:rPr>
              <w:t xml:space="preserve">: Link between board independence and proactive ESG initiatives) | (F14 – Institutional Investors) | </w:t>
              <w:br w:type="textWrapping"/>
              <w:t xml:space="preserve">(</w:t>
            </w:r>
            <w:r w:rsidDel="00000000" w:rsidR="00000000" w:rsidRPr="00000000">
              <w:rPr>
                <w:rFonts w:ascii="Times New Roman" w:cs="Times New Roman" w:eastAsia="Times New Roman" w:hAnsi="Times New Roman"/>
                <w:b w:val="1"/>
                <w:sz w:val="20"/>
                <w:szCs w:val="20"/>
                <w:rtl w:val="0"/>
              </w:rPr>
              <w:t xml:space="preserve">F14</w:t>
            </w:r>
            <w:r w:rsidDel="00000000" w:rsidR="00000000" w:rsidRPr="00000000">
              <w:rPr>
                <w:rFonts w:ascii="Times New Roman" w:cs="Times New Roman" w:eastAsia="Times New Roman" w:hAnsi="Times New Roman"/>
                <w:sz w:val="20"/>
                <w:szCs w:val="20"/>
                <w:rtl w:val="0"/>
              </w:rPr>
              <w:t xml:space="preserve"> – Investors: demand for ESG transparency drives bank strategy) | </w:t>
              <w:br w:type="textWrapping"/>
              <w:t xml:space="preserve">(</w:t>
            </w:r>
            <w:r w:rsidDel="00000000" w:rsidR="00000000" w:rsidRPr="00000000">
              <w:rPr>
                <w:rFonts w:ascii="Times New Roman" w:cs="Times New Roman" w:eastAsia="Times New Roman" w:hAnsi="Times New Roman"/>
                <w:b w:val="1"/>
                <w:sz w:val="20"/>
                <w:szCs w:val="20"/>
                <w:rtl w:val="0"/>
              </w:rPr>
              <w:t xml:space="preserve">F2</w:t>
            </w:r>
            <w:r w:rsidDel="00000000" w:rsidR="00000000" w:rsidRPr="00000000">
              <w:rPr>
                <w:rFonts w:ascii="Times New Roman" w:cs="Times New Roman" w:eastAsia="Times New Roman" w:hAnsi="Times New Roman"/>
                <w:sz w:val="20"/>
                <w:szCs w:val="20"/>
                <w:rtl w:val="0"/>
              </w:rPr>
              <w:t xml:space="preserve"> – Profitability and Resource Allocation; Revenue: positive market-valuation effects motivate ESG) | </w:t>
              <w:br w:type="textWrapping"/>
              <w:t xml:space="preserve">(</w:t>
            </w:r>
            <w:r w:rsidDel="00000000" w:rsidR="00000000" w:rsidRPr="00000000">
              <w:rPr>
                <w:rFonts w:ascii="Times New Roman" w:cs="Times New Roman" w:eastAsia="Times New Roman" w:hAnsi="Times New Roman"/>
                <w:b w:val="1"/>
                <w:sz w:val="20"/>
                <w:szCs w:val="20"/>
                <w:rtl w:val="0"/>
              </w:rPr>
              <w:t xml:space="preserve">F5</w:t>
            </w:r>
            <w:r w:rsidDel="00000000" w:rsidR="00000000" w:rsidRPr="00000000">
              <w:rPr>
                <w:rFonts w:ascii="Times New Roman" w:cs="Times New Roman" w:eastAsia="Times New Roman" w:hAnsi="Times New Roman"/>
                <w:sz w:val="20"/>
                <w:szCs w:val="20"/>
                <w:rtl w:val="0"/>
              </w:rPr>
              <w:t xml:space="preserve"> – UN Principles for Responsible Banking; regulations and guidelines significantly drive ESG adoption) | </w:t>
              <w:br w:type="textWrapping"/>
              <w:t xml:space="preserve">(</w:t>
            </w:r>
            <w:r w:rsidDel="00000000" w:rsidR="00000000" w:rsidRPr="00000000">
              <w:rPr>
                <w:rFonts w:ascii="Times New Roman" w:cs="Times New Roman" w:eastAsia="Times New Roman" w:hAnsi="Times New Roman"/>
                <w:b w:val="1"/>
                <w:sz w:val="20"/>
                <w:szCs w:val="20"/>
                <w:rtl w:val="0"/>
              </w:rPr>
              <w:t xml:space="preserve">F2 </w:t>
            </w:r>
            <w:r w:rsidDel="00000000" w:rsidR="00000000" w:rsidRPr="00000000">
              <w:rPr>
                <w:rFonts w:ascii="Times New Roman" w:cs="Times New Roman" w:eastAsia="Times New Roman" w:hAnsi="Times New Roman"/>
                <w:sz w:val="20"/>
                <w:szCs w:val="20"/>
                <w:rtl w:val="0"/>
              </w:rPr>
              <w:t xml:space="preserve">– Sectoral Variations: regional differences influence but less than bank-specific/market pressures)</w:t>
            </w:r>
          </w:p>
        </w:tc>
      </w:tr>
      <w:tr>
        <w:trPr>
          <w:cantSplit w:val="0"/>
          <w:trHeight w:val="17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Singhania et al. (2024)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 countries (developed and developing) including Sweden, USA, India, China, etc.</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F5</w:t>
            </w:r>
            <w:r w:rsidDel="00000000" w:rsidR="00000000" w:rsidRPr="00000000">
              <w:rPr>
                <w:rFonts w:ascii="Times New Roman" w:cs="Times New Roman" w:eastAsia="Times New Roman" w:hAnsi="Times New Roman"/>
                <w:sz w:val="20"/>
                <w:szCs w:val="20"/>
                <w:rtl w:val="0"/>
              </w:rPr>
              <w:t xml:space="preserve">: PRI adopters score much better in ESG integrations; GRI; SASB; NFRD; UNGC) | </w:t>
              <w:br w:type="textWrapping"/>
              <w:t xml:space="preserve">(</w:t>
            </w:r>
            <w:r w:rsidDel="00000000" w:rsidR="00000000" w:rsidRPr="00000000">
              <w:rPr>
                <w:rFonts w:ascii="Times New Roman" w:cs="Times New Roman" w:eastAsia="Times New Roman" w:hAnsi="Times New Roman"/>
                <w:b w:val="1"/>
                <w:sz w:val="20"/>
                <w:szCs w:val="20"/>
                <w:rtl w:val="0"/>
              </w:rPr>
              <w:t xml:space="preserve">F12</w:t>
            </w:r>
            <w:r w:rsidDel="00000000" w:rsidR="00000000" w:rsidRPr="00000000">
              <w:rPr>
                <w:rFonts w:ascii="Times New Roman" w:cs="Times New Roman" w:eastAsia="Times New Roman" w:hAnsi="Times New Roman"/>
                <w:sz w:val="20"/>
                <w:szCs w:val="20"/>
                <w:rtl w:val="0"/>
              </w:rPr>
              <w:t xml:space="preserve"> – Social issues: in Africa ESG is driven by poverty, international aid, etc.) | </w:t>
              <w:br w:type="textWrapping"/>
              <w:t xml:space="preserve">(</w:t>
            </w:r>
            <w:r w:rsidDel="00000000" w:rsidR="00000000" w:rsidRPr="00000000">
              <w:rPr>
                <w:rFonts w:ascii="Times New Roman" w:cs="Times New Roman" w:eastAsia="Times New Roman" w:hAnsi="Times New Roman"/>
                <w:b w:val="1"/>
                <w:sz w:val="20"/>
                <w:szCs w:val="20"/>
                <w:rtl w:val="0"/>
              </w:rPr>
              <w:t xml:space="preserve">F14</w:t>
            </w:r>
            <w:r w:rsidDel="00000000" w:rsidR="00000000" w:rsidRPr="00000000">
              <w:rPr>
                <w:rFonts w:ascii="Times New Roman" w:cs="Times New Roman" w:eastAsia="Times New Roman" w:hAnsi="Times New Roman"/>
                <w:sz w:val="20"/>
                <w:szCs w:val="20"/>
                <w:rtl w:val="0"/>
              </w:rPr>
              <w:t xml:space="preserve"> – Investors; consumers: especially in developed countries) | </w:t>
              <w:br w:type="textWrapping"/>
              <w:t xml:space="preserve">(</w:t>
            </w:r>
            <w:r w:rsidDel="00000000" w:rsidR="00000000" w:rsidRPr="00000000">
              <w:rPr>
                <w:rFonts w:ascii="Times New Roman" w:cs="Times New Roman" w:eastAsia="Times New Roman" w:hAnsi="Times New Roman"/>
                <w:b w:val="1"/>
                <w:sz w:val="20"/>
                <w:szCs w:val="20"/>
                <w:rtl w:val="0"/>
              </w:rPr>
              <w:t xml:space="preserve">F7</w:t>
            </w:r>
            <w:r w:rsidDel="00000000" w:rsidR="00000000" w:rsidRPr="00000000">
              <w:rPr>
                <w:rFonts w:ascii="Times New Roman" w:cs="Times New Roman" w:eastAsia="Times New Roman" w:hAnsi="Times New Roman"/>
                <w:sz w:val="20"/>
                <w:szCs w:val="20"/>
                <w:rtl w:val="0"/>
              </w:rPr>
              <w:t xml:space="preserve"> – Gender: in developed countries) | </w:t>
              <w:br w:type="textWrapping"/>
              <w:t xml:space="preserve">(</w:t>
            </w:r>
            <w:r w:rsidDel="00000000" w:rsidR="00000000" w:rsidRPr="00000000">
              <w:rPr>
                <w:rFonts w:ascii="Times New Roman" w:cs="Times New Roman" w:eastAsia="Times New Roman" w:hAnsi="Times New Roman"/>
                <w:b w:val="1"/>
                <w:sz w:val="20"/>
                <w:szCs w:val="20"/>
                <w:rtl w:val="0"/>
              </w:rPr>
              <w:t xml:space="preserve">Digital transformation</w:t>
            </w:r>
            <w:r w:rsidDel="00000000" w:rsidR="00000000" w:rsidRPr="00000000">
              <w:rPr>
                <w:rFonts w:ascii="Times New Roman" w:cs="Times New Roman" w:eastAsia="Times New Roman" w:hAnsi="Times New Roman"/>
                <w:sz w:val="20"/>
                <w:szCs w:val="20"/>
                <w:rtl w:val="0"/>
              </w:rPr>
              <w:t xml:space="preserve">: increased ICT readiness and sustainability-tech innovation improves ESG metrics)</w:t>
            </w:r>
          </w:p>
        </w:tc>
      </w:tr>
      <w:tr>
        <w:trPr>
          <w:cantSplit w:val="0"/>
          <w:trHeight w:val="319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Mukhtar et al. (2024).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Malaysia</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F5</w:t>
            </w:r>
            <w:r w:rsidDel="00000000" w:rsidR="00000000" w:rsidRPr="00000000">
              <w:rPr>
                <w:rFonts w:ascii="Times New Roman" w:cs="Times New Roman" w:eastAsia="Times New Roman" w:hAnsi="Times New Roman"/>
                <w:sz w:val="20"/>
                <w:szCs w:val="20"/>
                <w:rtl w:val="0"/>
              </w:rPr>
              <w:t xml:space="preserve">: GRI; UNGC; UNPRI; SASB; IRF – key tool for alignment/reporting) | </w:t>
              <w:br w:type="textWrapping"/>
              <w:t xml:space="preserve">(</w:t>
            </w:r>
            <w:r w:rsidDel="00000000" w:rsidR="00000000" w:rsidRPr="00000000">
              <w:rPr>
                <w:rFonts w:ascii="Times New Roman" w:cs="Times New Roman" w:eastAsia="Times New Roman" w:hAnsi="Times New Roman"/>
                <w:b w:val="1"/>
                <w:sz w:val="20"/>
                <w:szCs w:val="20"/>
                <w:rtl w:val="0"/>
              </w:rPr>
              <w:t xml:space="preserve">F16</w:t>
            </w:r>
            <w:r w:rsidDel="00000000" w:rsidR="00000000" w:rsidRPr="00000000">
              <w:rPr>
                <w:rFonts w:ascii="Times New Roman" w:cs="Times New Roman" w:eastAsia="Times New Roman" w:hAnsi="Times New Roman"/>
                <w:sz w:val="20"/>
                <w:szCs w:val="20"/>
                <w:rtl w:val="0"/>
              </w:rPr>
              <w:t xml:space="preserve">: part of organizational strategy) | </w:t>
              <w:br w:type="textWrapping"/>
              <w:t xml:space="preserve">(</w:t>
            </w:r>
            <w:r w:rsidDel="00000000" w:rsidR="00000000" w:rsidRPr="00000000">
              <w:rPr>
                <w:rFonts w:ascii="Times New Roman" w:cs="Times New Roman" w:eastAsia="Times New Roman" w:hAnsi="Times New Roman"/>
                <w:b w:val="1"/>
                <w:sz w:val="20"/>
                <w:szCs w:val="20"/>
                <w:rtl w:val="0"/>
              </w:rPr>
              <w:t xml:space="preserve">F13</w:t>
            </w:r>
            <w:r w:rsidDel="00000000" w:rsidR="00000000" w:rsidRPr="00000000">
              <w:rPr>
                <w:rFonts w:ascii="Times New Roman" w:cs="Times New Roman" w:eastAsia="Times New Roman" w:hAnsi="Times New Roman"/>
                <w:sz w:val="20"/>
                <w:szCs w:val="20"/>
                <w:rtl w:val="0"/>
              </w:rPr>
              <w:t xml:space="preserve"> – Level of risk: emphasized re capabilities) | </w:t>
              <w:br w:type="textWrapping"/>
              <w:t xml:space="preserve">(</w:t>
            </w:r>
            <w:r w:rsidDel="00000000" w:rsidR="00000000" w:rsidRPr="00000000">
              <w:rPr>
                <w:rFonts w:ascii="Times New Roman" w:cs="Times New Roman" w:eastAsia="Times New Roman" w:hAnsi="Times New Roman"/>
                <w:b w:val="1"/>
                <w:sz w:val="20"/>
                <w:szCs w:val="20"/>
                <w:rtl w:val="0"/>
              </w:rPr>
              <w:t xml:space="preserve">F2</w:t>
            </w:r>
            <w:r w:rsidDel="00000000" w:rsidR="00000000" w:rsidRPr="00000000">
              <w:rPr>
                <w:rFonts w:ascii="Times New Roman" w:cs="Times New Roman" w:eastAsia="Times New Roman" w:hAnsi="Times New Roman"/>
                <w:sz w:val="20"/>
                <w:szCs w:val="20"/>
                <w:rtl w:val="0"/>
              </w:rPr>
              <w:t xml:space="preserve"> – Market Competitiveness: linked to competitive advantage) | </w:t>
              <w:br w:type="textWrapping"/>
              <w:t xml:space="preserve">(</w:t>
            </w:r>
            <w:r w:rsidDel="00000000" w:rsidR="00000000" w:rsidRPr="00000000">
              <w:rPr>
                <w:rFonts w:ascii="Times New Roman" w:cs="Times New Roman" w:eastAsia="Times New Roman" w:hAnsi="Times New Roman"/>
                <w:b w:val="1"/>
                <w:sz w:val="20"/>
                <w:szCs w:val="20"/>
                <w:rtl w:val="0"/>
              </w:rPr>
              <w:t xml:space="preserve">F8</w:t>
            </w:r>
            <w:r w:rsidDel="00000000" w:rsidR="00000000" w:rsidRPr="00000000">
              <w:rPr>
                <w:rFonts w:ascii="Times New Roman" w:cs="Times New Roman" w:eastAsia="Times New Roman" w:hAnsi="Times New Roman"/>
                <w:sz w:val="20"/>
                <w:szCs w:val="20"/>
                <w:rtl w:val="0"/>
              </w:rPr>
              <w:t xml:space="preserve">: governance factor influencing ESG) | </w:t>
              <w:br w:type="textWrapping"/>
              <w:t xml:space="preserve">(</w:t>
            </w:r>
            <w:r w:rsidDel="00000000" w:rsidR="00000000" w:rsidRPr="00000000">
              <w:rPr>
                <w:rFonts w:ascii="Times New Roman" w:cs="Times New Roman" w:eastAsia="Times New Roman" w:hAnsi="Times New Roman"/>
                <w:b w:val="1"/>
                <w:sz w:val="20"/>
                <w:szCs w:val="20"/>
                <w:rtl w:val="0"/>
              </w:rPr>
              <w:t xml:space="preserve">F7</w:t>
            </w:r>
            <w:r w:rsidDel="00000000" w:rsidR="00000000" w:rsidRPr="00000000">
              <w:rPr>
                <w:rFonts w:ascii="Times New Roman" w:cs="Times New Roman" w:eastAsia="Times New Roman" w:hAnsi="Times New Roman"/>
                <w:sz w:val="20"/>
                <w:szCs w:val="20"/>
                <w:rtl w:val="0"/>
              </w:rPr>
              <w:t xml:space="preserve"> – Racial diversity: strong driver of innovation) | </w:t>
              <w:br w:type="textWrapping"/>
              <w:t xml:space="preserve">(</w:t>
            </w:r>
            <w:r w:rsidDel="00000000" w:rsidR="00000000" w:rsidRPr="00000000">
              <w:rPr>
                <w:rFonts w:ascii="Times New Roman" w:cs="Times New Roman" w:eastAsia="Times New Roman" w:hAnsi="Times New Roman"/>
                <w:b w:val="1"/>
                <w:sz w:val="20"/>
                <w:szCs w:val="20"/>
                <w:rtl w:val="0"/>
              </w:rPr>
              <w:t xml:space="preserve">F6</w:t>
            </w:r>
            <w:r w:rsidDel="00000000" w:rsidR="00000000" w:rsidRPr="00000000">
              <w:rPr>
                <w:rFonts w:ascii="Times New Roman" w:cs="Times New Roman" w:eastAsia="Times New Roman" w:hAnsi="Times New Roman"/>
                <w:sz w:val="20"/>
                <w:szCs w:val="20"/>
                <w:rtl w:val="0"/>
              </w:rPr>
              <w:t xml:space="preserve">: mentioned with limited emphasis) | </w:t>
              <w:br w:type="textWrapping"/>
              <w:t xml:space="preserve">(</w:t>
            </w:r>
            <w:r w:rsidDel="00000000" w:rsidR="00000000" w:rsidRPr="00000000">
              <w:rPr>
                <w:rFonts w:ascii="Times New Roman" w:cs="Times New Roman" w:eastAsia="Times New Roman" w:hAnsi="Times New Roman"/>
                <w:b w:val="1"/>
                <w:sz w:val="20"/>
                <w:szCs w:val="20"/>
                <w:rtl w:val="0"/>
              </w:rPr>
              <w:t xml:space="preserve">F14 </w:t>
            </w:r>
            <w:r w:rsidDel="00000000" w:rsidR="00000000" w:rsidRPr="00000000">
              <w:rPr>
                <w:rFonts w:ascii="Times New Roman" w:cs="Times New Roman" w:eastAsia="Times New Roman" w:hAnsi="Times New Roman"/>
                <w:sz w:val="20"/>
                <w:szCs w:val="20"/>
                <w:rtl w:val="0"/>
              </w:rPr>
              <w:t xml:space="preserve">– Consumers; Investors; Employees: key external drivers) | </w:t>
              <w:br w:type="textWrapping"/>
              <w:t xml:space="preserve">(</w:t>
            </w:r>
            <w:r w:rsidDel="00000000" w:rsidR="00000000" w:rsidRPr="00000000">
              <w:rPr>
                <w:rFonts w:ascii="Times New Roman" w:cs="Times New Roman" w:eastAsia="Times New Roman" w:hAnsi="Times New Roman"/>
                <w:b w:val="1"/>
                <w:sz w:val="20"/>
                <w:szCs w:val="20"/>
                <w:rtl w:val="0"/>
              </w:rPr>
              <w:t xml:space="preserve">F15</w:t>
            </w:r>
            <w:r w:rsidDel="00000000" w:rsidR="00000000" w:rsidRPr="00000000">
              <w:rPr>
                <w:rFonts w:ascii="Times New Roman" w:cs="Times New Roman" w:eastAsia="Times New Roman" w:hAnsi="Times New Roman"/>
                <w:sz w:val="20"/>
                <w:szCs w:val="20"/>
                <w:rtl w:val="0"/>
              </w:rPr>
              <w:t xml:space="preserve">: supports sustainability governance) | </w:t>
              <w:br w:type="textWrapping"/>
              <w:t xml:space="preserve">(</w:t>
            </w:r>
            <w:r w:rsidDel="00000000" w:rsidR="00000000" w:rsidRPr="00000000">
              <w:rPr>
                <w:rFonts w:ascii="Times New Roman" w:cs="Times New Roman" w:eastAsia="Times New Roman" w:hAnsi="Times New Roman"/>
                <w:b w:val="1"/>
                <w:sz w:val="20"/>
                <w:szCs w:val="20"/>
                <w:rtl w:val="0"/>
              </w:rPr>
              <w:t xml:space="preserve">F3</w:t>
            </w:r>
            <w:r w:rsidDel="00000000" w:rsidR="00000000" w:rsidRPr="00000000">
              <w:rPr>
                <w:rFonts w:ascii="Times New Roman" w:cs="Times New Roman" w:eastAsia="Times New Roman" w:hAnsi="Times New Roman"/>
                <w:sz w:val="20"/>
                <w:szCs w:val="20"/>
                <w:rtl w:val="0"/>
              </w:rPr>
              <w:t xml:space="preserve">: strong emphasis on green outcomes) | </w:t>
              <w:br w:type="textWrapping"/>
              <w:t xml:space="preserve">(</w:t>
            </w:r>
            <w:r w:rsidDel="00000000" w:rsidR="00000000" w:rsidRPr="00000000">
              <w:rPr>
                <w:rFonts w:ascii="Times New Roman" w:cs="Times New Roman" w:eastAsia="Times New Roman" w:hAnsi="Times New Roman"/>
                <w:b w:val="1"/>
                <w:sz w:val="20"/>
                <w:szCs w:val="20"/>
                <w:rtl w:val="0"/>
              </w:rPr>
              <w:t xml:space="preserve">F12</w:t>
            </w:r>
            <w:r w:rsidDel="00000000" w:rsidR="00000000" w:rsidRPr="00000000">
              <w:rPr>
                <w:rFonts w:ascii="Times New Roman" w:cs="Times New Roman" w:eastAsia="Times New Roman" w:hAnsi="Times New Roman"/>
                <w:sz w:val="20"/>
                <w:szCs w:val="20"/>
                <w:rtl w:val="0"/>
              </w:rPr>
              <w:t xml:space="preserve"> – Green technology adoption essential for goals) | (</w:t>
            </w:r>
            <w:r w:rsidDel="00000000" w:rsidR="00000000" w:rsidRPr="00000000">
              <w:rPr>
                <w:rFonts w:ascii="Times New Roman" w:cs="Times New Roman" w:eastAsia="Times New Roman" w:hAnsi="Times New Roman"/>
                <w:b w:val="1"/>
                <w:sz w:val="20"/>
                <w:szCs w:val="20"/>
                <w:rtl w:val="0"/>
              </w:rPr>
              <w:t xml:space="preserve">F11</w:t>
            </w:r>
            <w:r w:rsidDel="00000000" w:rsidR="00000000" w:rsidRPr="00000000">
              <w:rPr>
                <w:rFonts w:ascii="Times New Roman" w:cs="Times New Roman" w:eastAsia="Times New Roman" w:hAnsi="Times New Roman"/>
                <w:sz w:val="20"/>
                <w:szCs w:val="20"/>
                <w:rtl w:val="0"/>
              </w:rPr>
              <w:t xml:space="preserve">: primary driver for ESG practices) | </w:t>
              <w:br w:type="textWrapping"/>
              <w:t xml:space="preserve">(</w:t>
            </w:r>
            <w:r w:rsidDel="00000000" w:rsidR="00000000" w:rsidRPr="00000000">
              <w:rPr>
                <w:rFonts w:ascii="Times New Roman" w:cs="Times New Roman" w:eastAsia="Times New Roman" w:hAnsi="Times New Roman"/>
                <w:b w:val="1"/>
                <w:sz w:val="20"/>
                <w:szCs w:val="20"/>
                <w:rtl w:val="0"/>
              </w:rPr>
              <w:t xml:space="preserve">F14</w:t>
            </w:r>
            <w:r w:rsidDel="00000000" w:rsidR="00000000" w:rsidRPr="00000000">
              <w:rPr>
                <w:rFonts w:ascii="Times New Roman" w:cs="Times New Roman" w:eastAsia="Times New Roman" w:hAnsi="Times New Roman"/>
                <w:sz w:val="20"/>
                <w:szCs w:val="20"/>
                <w:rtl w:val="0"/>
              </w:rPr>
              <w:t xml:space="preserve">: important for long-term success)</w:t>
            </w:r>
          </w:p>
        </w:tc>
      </w:tr>
      <w:tr>
        <w:trPr>
          <w:cantSplit w:val="0"/>
          <w:trHeight w:val="103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Mooneeapen et al. (2022)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 countries (S&amp;P Global 1200 firms)</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F11</w:t>
            </w:r>
            <w:r w:rsidDel="00000000" w:rsidR="00000000" w:rsidRPr="00000000">
              <w:rPr>
                <w:rFonts w:ascii="Times New Roman" w:cs="Times New Roman" w:eastAsia="Times New Roman" w:hAnsi="Times New Roman"/>
                <w:sz w:val="20"/>
                <w:szCs w:val="20"/>
                <w:rtl w:val="0"/>
              </w:rPr>
              <w:t xml:space="preserve">: regulatory quality and mandatories strongly determine ESG) | </w:t>
            </w:r>
          </w:p>
          <w:p w:rsidR="00000000" w:rsidDel="00000000" w:rsidP="00000000" w:rsidRDefault="00000000" w:rsidRPr="00000000" w14:paraId="0000002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Formal Institutions </w:t>
            </w:r>
            <w:r w:rsidDel="00000000" w:rsidR="00000000" w:rsidRPr="00000000">
              <w:rPr>
                <w:rFonts w:ascii="Times New Roman" w:cs="Times New Roman" w:eastAsia="Times New Roman" w:hAnsi="Times New Roman"/>
                <w:sz w:val="20"/>
                <w:szCs w:val="20"/>
                <w:rtl w:val="0"/>
              </w:rPr>
              <w:t xml:space="preserve">– Political stability; democracy: shape ESG approaches) | </w:t>
            </w:r>
          </w:p>
          <w:p w:rsidR="00000000" w:rsidDel="00000000" w:rsidP="00000000" w:rsidRDefault="00000000" w:rsidRPr="00000000" w14:paraId="0000002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F14</w:t>
            </w:r>
            <w:r w:rsidDel="00000000" w:rsidR="00000000" w:rsidRPr="00000000">
              <w:rPr>
                <w:rFonts w:ascii="Times New Roman" w:cs="Times New Roman" w:eastAsia="Times New Roman" w:hAnsi="Times New Roman"/>
                <w:sz w:val="20"/>
                <w:szCs w:val="20"/>
                <w:rtl w:val="0"/>
              </w:rPr>
              <w:t xml:space="preserve"> – Consumers; Investors; NGOs: ESG to build trust in weak-governance contexts) | </w:t>
            </w:r>
          </w:p>
          <w:p w:rsidR="00000000" w:rsidDel="00000000" w:rsidP="00000000" w:rsidRDefault="00000000" w:rsidRPr="00000000" w14:paraId="0000002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Informal Institutions</w:t>
            </w:r>
            <w:r w:rsidDel="00000000" w:rsidR="00000000" w:rsidRPr="00000000">
              <w:rPr>
                <w:rFonts w:ascii="Times New Roman" w:cs="Times New Roman" w:eastAsia="Times New Roman" w:hAnsi="Times New Roman"/>
                <w:sz w:val="20"/>
                <w:szCs w:val="20"/>
                <w:rtl w:val="0"/>
              </w:rPr>
              <w:t xml:space="preserve"> – Political stability; globalization: ESG for legitimacy in cross-border markets)</w:t>
            </w:r>
          </w:p>
          <w:p w:rsidR="00000000" w:rsidDel="00000000" w:rsidP="00000000" w:rsidRDefault="00000000" w:rsidRPr="00000000" w14:paraId="0000002F">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127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Balogh et al. (2022)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Czech Republic</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F13</w:t>
            </w:r>
            <w:r w:rsidDel="00000000" w:rsidR="00000000" w:rsidRPr="00000000">
              <w:rPr>
                <w:rFonts w:ascii="Cardo" w:cs="Cardo" w:eastAsia="Cardo" w:hAnsi="Cardo"/>
                <w:sz w:val="20"/>
                <w:szCs w:val="20"/>
                <w:rtl w:val="0"/>
              </w:rPr>
              <w:t xml:space="preserve"> – Firm size: higher revenues → more ESG disclosure; Workforce size: large employee base drives social/governance reporting) | </w:t>
            </w:r>
          </w:p>
          <w:p w:rsidR="00000000" w:rsidDel="00000000" w:rsidP="00000000" w:rsidRDefault="00000000" w:rsidRPr="00000000" w14:paraId="0000003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F6/F7</w:t>
            </w:r>
            <w:r w:rsidDel="00000000" w:rsidR="00000000" w:rsidRPr="00000000">
              <w:rPr>
                <w:rFonts w:ascii="Times New Roman" w:cs="Times New Roman" w:eastAsia="Times New Roman" w:hAnsi="Times New Roman"/>
                <w:sz w:val="20"/>
                <w:szCs w:val="20"/>
                <w:rtl w:val="0"/>
              </w:rPr>
              <w:t xml:space="preserve">: gender/board size had no significant effect in Czech firms) | </w:t>
            </w:r>
          </w:p>
          <w:p w:rsidR="00000000" w:rsidDel="00000000" w:rsidP="00000000" w:rsidRDefault="00000000" w:rsidRPr="00000000" w14:paraId="0000003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F2</w:t>
            </w:r>
            <w:r w:rsidDel="00000000" w:rsidR="00000000" w:rsidRPr="00000000">
              <w:rPr>
                <w:rFonts w:ascii="Times New Roman" w:cs="Times New Roman" w:eastAsia="Times New Roman" w:hAnsi="Times New Roman"/>
                <w:sz w:val="20"/>
                <w:szCs w:val="20"/>
                <w:rtl w:val="0"/>
              </w:rPr>
              <w:t xml:space="preserve"> – Sectoral Variations: mining, energy, pharma lead disclosures) | </w:t>
            </w:r>
          </w:p>
          <w:p w:rsidR="00000000" w:rsidDel="00000000" w:rsidP="00000000" w:rsidRDefault="00000000" w:rsidRPr="00000000" w14:paraId="0000003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Informal Institutions</w:t>
            </w:r>
            <w:r w:rsidDel="00000000" w:rsidR="00000000" w:rsidRPr="00000000">
              <w:rPr>
                <w:rFonts w:ascii="Times New Roman" w:cs="Times New Roman" w:eastAsia="Times New Roman" w:hAnsi="Times New Roman"/>
                <w:sz w:val="20"/>
                <w:szCs w:val="20"/>
                <w:rtl w:val="0"/>
              </w:rPr>
              <w:t xml:space="preserve"> – Legitimacy pressure: reputation drives ESG integration)</w:t>
            </w:r>
          </w:p>
        </w:tc>
      </w:tr>
      <w:tr>
        <w:trPr>
          <w:cantSplit w:val="0"/>
          <w:trHeight w:val="39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Lisovsky (2021)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Russia</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F13 </w:t>
            </w:r>
            <w:r w:rsidDel="00000000" w:rsidR="00000000" w:rsidRPr="00000000">
              <w:rPr>
                <w:rFonts w:ascii="Times New Roman" w:cs="Times New Roman" w:eastAsia="Times New Roman" w:hAnsi="Times New Roman"/>
                <w:sz w:val="20"/>
                <w:szCs w:val="20"/>
                <w:rtl w:val="0"/>
              </w:rPr>
              <w:t xml:space="preserve">– Firm size: resource access facilitates ESG) | </w:t>
            </w:r>
          </w:p>
          <w:p w:rsidR="00000000" w:rsidDel="00000000" w:rsidP="00000000" w:rsidRDefault="00000000" w:rsidRPr="00000000" w14:paraId="0000003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F15</w:t>
            </w:r>
            <w:r w:rsidDel="00000000" w:rsidR="00000000" w:rsidRPr="00000000">
              <w:rPr>
                <w:rFonts w:ascii="Times New Roman" w:cs="Times New Roman" w:eastAsia="Times New Roman" w:hAnsi="Times New Roman"/>
                <w:sz w:val="20"/>
                <w:szCs w:val="20"/>
                <w:rtl w:val="0"/>
              </w:rPr>
              <w:t xml:space="preserve">: dedicated CSR units drive sustainability goals) | (</w:t>
            </w:r>
            <w:r w:rsidDel="00000000" w:rsidR="00000000" w:rsidRPr="00000000">
              <w:rPr>
                <w:rFonts w:ascii="Times New Roman" w:cs="Times New Roman" w:eastAsia="Times New Roman" w:hAnsi="Times New Roman"/>
                <w:b w:val="1"/>
                <w:sz w:val="20"/>
                <w:szCs w:val="20"/>
                <w:rtl w:val="0"/>
              </w:rPr>
              <w:t xml:space="preserve">F14</w:t>
            </w:r>
            <w:r w:rsidDel="00000000" w:rsidR="00000000" w:rsidRPr="00000000">
              <w:rPr>
                <w:rFonts w:ascii="Times New Roman" w:cs="Times New Roman" w:eastAsia="Times New Roman" w:hAnsi="Times New Roman"/>
                <w:sz w:val="20"/>
                <w:szCs w:val="20"/>
                <w:rtl w:val="0"/>
              </w:rPr>
              <w:t xml:space="preserve"> – Investors; consumers; employees: external pressure for ESG) | </w:t>
            </w:r>
          </w:p>
          <w:p w:rsidR="00000000" w:rsidDel="00000000" w:rsidP="00000000" w:rsidRDefault="00000000" w:rsidRPr="00000000" w14:paraId="0000003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F2</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b w:val="1"/>
                <w:sz w:val="20"/>
                <w:szCs w:val="20"/>
                <w:rtl w:val="0"/>
              </w:rPr>
              <w:t xml:space="preserve">Revenue</w:t>
            </w:r>
            <w:r w:rsidDel="00000000" w:rsidR="00000000" w:rsidRPr="00000000">
              <w:rPr>
                <w:rFonts w:ascii="Times New Roman" w:cs="Times New Roman" w:eastAsia="Times New Roman" w:hAnsi="Times New Roman"/>
                <w:sz w:val="20"/>
                <w:szCs w:val="20"/>
                <w:rtl w:val="0"/>
              </w:rPr>
              <w:t xml:space="preserve">; competitive advantage; sectoral variations: certain industries more active) | </w:t>
            </w:r>
          </w:p>
          <w:p w:rsidR="00000000" w:rsidDel="00000000" w:rsidP="00000000" w:rsidRDefault="00000000" w:rsidRPr="00000000" w14:paraId="0000003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Digital transformation</w:t>
            </w:r>
            <w:r w:rsidDel="00000000" w:rsidR="00000000" w:rsidRPr="00000000">
              <w:rPr>
                <w:rFonts w:ascii="Times New Roman" w:cs="Times New Roman" w:eastAsia="Times New Roman" w:hAnsi="Times New Roman"/>
                <w:sz w:val="20"/>
                <w:szCs w:val="20"/>
                <w:rtl w:val="0"/>
              </w:rPr>
              <w:t xml:space="preserve"> : Investment in new green technologies is critical) | </w:t>
            </w:r>
          </w:p>
          <w:p w:rsidR="00000000" w:rsidDel="00000000" w:rsidP="00000000" w:rsidRDefault="00000000" w:rsidRPr="00000000" w14:paraId="0000004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Informal Institutions</w:t>
            </w:r>
            <w:r w:rsidDel="00000000" w:rsidR="00000000" w:rsidRPr="00000000">
              <w:rPr>
                <w:rFonts w:ascii="Times New Roman" w:cs="Times New Roman" w:eastAsia="Times New Roman" w:hAnsi="Times New Roman"/>
                <w:sz w:val="20"/>
                <w:szCs w:val="20"/>
                <w:rtl w:val="0"/>
              </w:rPr>
              <w:t xml:space="preserve"> – Globalization drive ESG) | </w:t>
            </w:r>
          </w:p>
          <w:p w:rsidR="00000000" w:rsidDel="00000000" w:rsidP="00000000" w:rsidRDefault="00000000" w:rsidRPr="00000000" w14:paraId="0000004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F11</w:t>
            </w:r>
            <w:r w:rsidDel="00000000" w:rsidR="00000000" w:rsidRPr="00000000">
              <w:rPr>
                <w:rFonts w:ascii="Times New Roman" w:cs="Times New Roman" w:eastAsia="Times New Roman" w:hAnsi="Times New Roman"/>
                <w:sz w:val="20"/>
                <w:szCs w:val="20"/>
                <w:rtl w:val="0"/>
              </w:rPr>
              <w:t xml:space="preserve">: compliance with regulations) | </w:t>
            </w:r>
          </w:p>
          <w:p w:rsidR="00000000" w:rsidDel="00000000" w:rsidP="00000000" w:rsidRDefault="00000000" w:rsidRPr="00000000" w14:paraId="0000004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F5</w:t>
            </w:r>
            <w:r w:rsidDel="00000000" w:rsidR="00000000" w:rsidRPr="00000000">
              <w:rPr>
                <w:rFonts w:ascii="Times New Roman" w:cs="Times New Roman" w:eastAsia="Times New Roman" w:hAnsi="Times New Roman"/>
                <w:sz w:val="20"/>
                <w:szCs w:val="20"/>
                <w:rtl w:val="0"/>
              </w:rPr>
              <w:t xml:space="preserve"> – UNGC; Carbon Cross-Border Tax membership)</w:t>
            </w:r>
          </w:p>
        </w:tc>
      </w:tr>
      <w:tr>
        <w:trPr>
          <w:cantSplit w:val="0"/>
          <w:trHeight w:val="199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Hasnan et al. (2023).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Global</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SLR</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F13</w:t>
            </w:r>
            <w:r w:rsidDel="00000000" w:rsidR="00000000" w:rsidRPr="00000000">
              <w:rPr>
                <w:rFonts w:ascii="Times New Roman" w:cs="Times New Roman" w:eastAsia="Times New Roman" w:hAnsi="Times New Roman"/>
                <w:sz w:val="20"/>
                <w:szCs w:val="20"/>
                <w:rtl w:val="0"/>
              </w:rPr>
              <w:t xml:space="preserve"> – Firm size: public scrutiny drives ESG disclosure) | (</w:t>
            </w:r>
            <w:r w:rsidDel="00000000" w:rsidR="00000000" w:rsidRPr="00000000">
              <w:rPr>
                <w:rFonts w:ascii="Times New Roman" w:cs="Times New Roman" w:eastAsia="Times New Roman" w:hAnsi="Times New Roman"/>
                <w:b w:val="1"/>
                <w:sz w:val="20"/>
                <w:szCs w:val="20"/>
                <w:rtl w:val="0"/>
              </w:rPr>
              <w:t xml:space="preserve">F2</w:t>
            </w:r>
            <w:r w:rsidDel="00000000" w:rsidR="00000000" w:rsidRPr="00000000">
              <w:rPr>
                <w:rFonts w:ascii="Cardo" w:cs="Cardo" w:eastAsia="Cardo" w:hAnsi="Cardo"/>
                <w:sz w:val="20"/>
                <w:szCs w:val="20"/>
                <w:rtl w:val="0"/>
              </w:rPr>
              <w:t xml:space="preserve"> – Revenue: leverage → disclosure pressure; Profitability: funds ESG initiatives) | </w:t>
            </w:r>
          </w:p>
          <w:p w:rsidR="00000000" w:rsidDel="00000000" w:rsidP="00000000" w:rsidRDefault="00000000" w:rsidRPr="00000000" w14:paraId="0000004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F12</w:t>
            </w:r>
            <w:r w:rsidDel="00000000" w:rsidR="00000000" w:rsidRPr="00000000">
              <w:rPr>
                <w:rFonts w:ascii="Times New Roman" w:cs="Times New Roman" w:eastAsia="Times New Roman" w:hAnsi="Times New Roman"/>
                <w:sz w:val="20"/>
                <w:szCs w:val="20"/>
                <w:rtl w:val="0"/>
              </w:rPr>
              <w:t xml:space="preserve"> – Board Attributes: independence, diversity, size steer disclosure quality; ESP: economic sustainability performance justifies ESG) | </w:t>
            </w:r>
          </w:p>
          <w:p w:rsidR="00000000" w:rsidDel="00000000" w:rsidP="00000000" w:rsidRDefault="00000000" w:rsidRPr="00000000" w14:paraId="0000004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F7</w:t>
            </w:r>
            <w:r w:rsidDel="00000000" w:rsidR="00000000" w:rsidRPr="00000000">
              <w:rPr>
                <w:rFonts w:ascii="Times New Roman" w:cs="Times New Roman" w:eastAsia="Times New Roman" w:hAnsi="Times New Roman"/>
                <w:sz w:val="20"/>
                <w:szCs w:val="20"/>
                <w:rtl w:val="0"/>
              </w:rPr>
              <w:t xml:space="preserve"> – Gender: female board presence boosts ESG) | </w:t>
            </w:r>
          </w:p>
          <w:p w:rsidR="00000000" w:rsidDel="00000000" w:rsidP="00000000" w:rsidRDefault="00000000" w:rsidRPr="00000000" w14:paraId="0000004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F19</w:t>
            </w:r>
            <w:r w:rsidDel="00000000" w:rsidR="00000000" w:rsidRPr="00000000">
              <w:rPr>
                <w:rFonts w:ascii="Times New Roman" w:cs="Times New Roman" w:eastAsia="Times New Roman" w:hAnsi="Times New Roman"/>
                <w:sz w:val="20"/>
                <w:szCs w:val="20"/>
                <w:rtl w:val="0"/>
              </w:rPr>
              <w:t xml:space="preserve"> – Audit Committee External Members enhance transparency) | </w:t>
            </w:r>
          </w:p>
          <w:p w:rsidR="00000000" w:rsidDel="00000000" w:rsidP="00000000" w:rsidRDefault="00000000" w:rsidRPr="00000000" w14:paraId="0000004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F5</w:t>
            </w:r>
            <w:r w:rsidDel="00000000" w:rsidR="00000000" w:rsidRPr="00000000">
              <w:rPr>
                <w:rFonts w:ascii="Times New Roman" w:cs="Times New Roman" w:eastAsia="Times New Roman" w:hAnsi="Times New Roman"/>
                <w:sz w:val="20"/>
                <w:szCs w:val="20"/>
                <w:rtl w:val="0"/>
              </w:rPr>
              <w:t xml:space="preserve"> – SDGs; Paris Agreement frameworks guide disclosures) | </w:t>
            </w:r>
          </w:p>
          <w:p w:rsidR="00000000" w:rsidDel="00000000" w:rsidP="00000000" w:rsidRDefault="00000000" w:rsidRPr="00000000" w14:paraId="0000004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F14</w:t>
            </w:r>
            <w:r w:rsidDel="00000000" w:rsidR="00000000" w:rsidRPr="00000000">
              <w:rPr>
                <w:rFonts w:ascii="Times New Roman" w:cs="Times New Roman" w:eastAsia="Times New Roman" w:hAnsi="Times New Roman"/>
                <w:sz w:val="20"/>
                <w:szCs w:val="20"/>
                <w:rtl w:val="0"/>
              </w:rPr>
              <w:t xml:space="preserve"> – Investors; employees: stakeholder pressure for transparency)</w:t>
            </w:r>
          </w:p>
        </w:tc>
      </w:tr>
      <w:tr>
        <w:trPr>
          <w:cantSplit w:val="0"/>
          <w:trHeight w:val="223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 et al. (2023)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developed &amp; 20 emerging countries (40 total)</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F13</w:t>
            </w:r>
            <w:r w:rsidDel="00000000" w:rsidR="00000000" w:rsidRPr="00000000">
              <w:rPr>
                <w:rFonts w:ascii="Times New Roman" w:cs="Times New Roman" w:eastAsia="Times New Roman" w:hAnsi="Times New Roman"/>
                <w:sz w:val="20"/>
                <w:szCs w:val="20"/>
                <w:rtl w:val="0"/>
              </w:rPr>
              <w:t xml:space="preserve"> – Firm size: resources &amp; expectations drive more data) | </w:t>
            </w:r>
          </w:p>
          <w:p w:rsidR="00000000" w:rsidDel="00000000" w:rsidP="00000000" w:rsidRDefault="00000000" w:rsidRPr="00000000" w14:paraId="0000005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F2</w:t>
            </w:r>
            <w:r w:rsidDel="00000000" w:rsidR="00000000" w:rsidRPr="00000000">
              <w:rPr>
                <w:rFonts w:ascii="Times New Roman" w:cs="Times New Roman" w:eastAsia="Times New Roman" w:hAnsi="Times New Roman"/>
                <w:sz w:val="20"/>
                <w:szCs w:val="20"/>
                <w:rtl w:val="0"/>
              </w:rPr>
              <w:t xml:space="preserve"> – Leverage (D/E ratio): minimal developed-market impact) </w:t>
            </w:r>
          </w:p>
        </w:tc>
      </w:tr>
      <w:tr>
        <w:trPr>
          <w:cantSplit w:val="0"/>
          <w:trHeight w:val="15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Sun et al. (2023)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China</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F12</w:t>
            </w:r>
            <w:r w:rsidDel="00000000" w:rsidR="00000000" w:rsidRPr="00000000">
              <w:rPr>
                <w:rFonts w:ascii="Cardo" w:cs="Cardo" w:eastAsia="Cardo" w:hAnsi="Cardo"/>
                <w:sz w:val="20"/>
                <w:szCs w:val="20"/>
                <w:rtl w:val="0"/>
              </w:rPr>
              <w:t xml:space="preserve"> – Family Ownership: high stakes → ESG focus; Family Control: both positive (values alignment) and negative (overcontrol)) | </w:t>
            </w:r>
          </w:p>
          <w:p w:rsidR="00000000" w:rsidDel="00000000" w:rsidP="00000000" w:rsidRDefault="00000000" w:rsidRPr="00000000" w14:paraId="0000005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F2</w:t>
            </w:r>
            <w:r w:rsidDel="00000000" w:rsidR="00000000" w:rsidRPr="00000000">
              <w:rPr>
                <w:rFonts w:ascii="Times New Roman" w:cs="Times New Roman" w:eastAsia="Times New Roman" w:hAnsi="Times New Roman"/>
                <w:sz w:val="20"/>
                <w:szCs w:val="20"/>
                <w:rtl w:val="0"/>
              </w:rPr>
              <w:t xml:space="preserve"> – Market Competitiveness: cost/profit focus over ESG in tight markets) | </w:t>
            </w:r>
          </w:p>
          <w:p w:rsidR="00000000" w:rsidDel="00000000" w:rsidP="00000000" w:rsidRDefault="00000000" w:rsidRPr="00000000" w14:paraId="0000005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F8</w:t>
            </w:r>
            <w:r w:rsidDel="00000000" w:rsidR="00000000" w:rsidRPr="00000000">
              <w:rPr>
                <w:rFonts w:ascii="Times New Roman" w:cs="Times New Roman" w:eastAsia="Times New Roman" w:hAnsi="Times New Roman"/>
                <w:sz w:val="20"/>
                <w:szCs w:val="20"/>
                <w:rtl w:val="0"/>
              </w:rPr>
              <w:t xml:space="preserve">: independent boards curb family influence) | </w:t>
            </w:r>
          </w:p>
          <w:p w:rsidR="00000000" w:rsidDel="00000000" w:rsidP="00000000" w:rsidRDefault="00000000" w:rsidRPr="00000000" w14:paraId="0000005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F6</w:t>
            </w:r>
            <w:r w:rsidDel="00000000" w:rsidR="00000000" w:rsidRPr="00000000">
              <w:rPr>
                <w:rFonts w:ascii="Times New Roman" w:cs="Times New Roman" w:eastAsia="Times New Roman" w:hAnsi="Times New Roman"/>
                <w:sz w:val="20"/>
                <w:szCs w:val="20"/>
                <w:rtl w:val="0"/>
              </w:rPr>
              <w:t xml:space="preserve">: larger boards bring diversity but may slow decisions)|</w:t>
              <w:br w:type="textWrapping"/>
              <w:t xml:space="preserve">(</w:t>
            </w:r>
            <w:r w:rsidDel="00000000" w:rsidR="00000000" w:rsidRPr="00000000">
              <w:rPr>
                <w:rFonts w:ascii="Times New Roman" w:cs="Times New Roman" w:eastAsia="Times New Roman" w:hAnsi="Times New Roman"/>
                <w:b w:val="1"/>
                <w:sz w:val="20"/>
                <w:szCs w:val="20"/>
                <w:rtl w:val="0"/>
              </w:rPr>
              <w:t xml:space="preserve">F12</w:t>
            </w:r>
            <w:r w:rsidDel="00000000" w:rsidR="00000000" w:rsidRPr="00000000">
              <w:rPr>
                <w:rFonts w:ascii="Times New Roman" w:cs="Times New Roman" w:eastAsia="Times New Roman" w:hAnsi="Times New Roman"/>
                <w:sz w:val="20"/>
                <w:szCs w:val="20"/>
                <w:rtl w:val="0"/>
              </w:rPr>
              <w:t xml:space="preserve"> – CEO duality: negative ESG effect) | </w:t>
              <w:br w:type="textWrapping"/>
              <w:t xml:space="preserve">(</w:t>
            </w:r>
            <w:r w:rsidDel="00000000" w:rsidR="00000000" w:rsidRPr="00000000">
              <w:rPr>
                <w:rFonts w:ascii="Times New Roman" w:cs="Times New Roman" w:eastAsia="Times New Roman" w:hAnsi="Times New Roman"/>
                <w:b w:val="1"/>
                <w:sz w:val="20"/>
                <w:szCs w:val="20"/>
                <w:rtl w:val="0"/>
              </w:rPr>
              <w:t xml:space="preserve">F13</w:t>
            </w:r>
            <w:r w:rsidDel="00000000" w:rsidR="00000000" w:rsidRPr="00000000">
              <w:rPr>
                <w:rFonts w:ascii="Times New Roman" w:cs="Times New Roman" w:eastAsia="Times New Roman" w:hAnsi="Times New Roman"/>
                <w:sz w:val="20"/>
                <w:szCs w:val="20"/>
                <w:rtl w:val="0"/>
              </w:rPr>
              <w:t xml:space="preserve"> – Firm size: resources &amp; scrutiny boost disclosure)</w:t>
            </w:r>
          </w:p>
        </w:tc>
      </w:tr>
      <w:tr>
        <w:trPr>
          <w:cantSplit w:val="0"/>
          <w:trHeight w:val="199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P13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Lavin et al. (2021)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Chile</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F14</w:t>
            </w:r>
            <w:r w:rsidDel="00000000" w:rsidR="00000000" w:rsidRPr="00000000">
              <w:rPr>
                <w:rFonts w:ascii="Cardo" w:cs="Cardo" w:eastAsia="Cardo" w:hAnsi="Cardo"/>
                <w:sz w:val="20"/>
                <w:szCs w:val="20"/>
                <w:rtl w:val="0"/>
              </w:rPr>
              <w:t xml:space="preserve"> – Shareholders: multiple-board directors → short-term profit bias; Institutional Investors: encourage long-term transparency) | </w:t>
            </w:r>
          </w:p>
          <w:p w:rsidR="00000000" w:rsidDel="00000000" w:rsidP="00000000" w:rsidRDefault="00000000" w:rsidRPr="00000000" w14:paraId="0000006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F8</w:t>
            </w:r>
            <w:r w:rsidDel="00000000" w:rsidR="00000000" w:rsidRPr="00000000">
              <w:rPr>
                <w:rFonts w:ascii="Cardo" w:cs="Cardo" w:eastAsia="Cardo" w:hAnsi="Cardo"/>
                <w:sz w:val="20"/>
                <w:szCs w:val="20"/>
                <w:rtl w:val="0"/>
              </w:rPr>
              <w:t xml:space="preserve">: board independence → oversight &amp; reduced agency problems) | </w:t>
            </w:r>
          </w:p>
          <w:p w:rsidR="00000000" w:rsidDel="00000000" w:rsidP="00000000" w:rsidRDefault="00000000" w:rsidRPr="00000000" w14:paraId="0000006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F7</w:t>
            </w:r>
            <w:r w:rsidDel="00000000" w:rsidR="00000000" w:rsidRPr="00000000">
              <w:rPr>
                <w:rFonts w:ascii="Times New Roman" w:cs="Times New Roman" w:eastAsia="Times New Roman" w:hAnsi="Times New Roman"/>
                <w:sz w:val="20"/>
                <w:szCs w:val="20"/>
                <w:rtl w:val="0"/>
              </w:rPr>
              <w:t xml:space="preserve"> – Racial diversity: broader perspectives for complex ESG issues; Gender) | </w:t>
            </w:r>
          </w:p>
          <w:p w:rsidR="00000000" w:rsidDel="00000000" w:rsidP="00000000" w:rsidRDefault="00000000" w:rsidRPr="00000000" w14:paraId="0000006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F12</w:t>
            </w:r>
            <w:r w:rsidDel="00000000" w:rsidR="00000000" w:rsidRPr="00000000">
              <w:rPr>
                <w:rFonts w:ascii="Cardo" w:cs="Cardo" w:eastAsia="Cardo" w:hAnsi="Cardo"/>
                <w:sz w:val="20"/>
                <w:szCs w:val="20"/>
                <w:rtl w:val="0"/>
              </w:rPr>
              <w:t xml:space="preserve"> – Ownership Concentration: high concentration → less ESG transparency) | </w:t>
            </w:r>
          </w:p>
          <w:p w:rsidR="00000000" w:rsidDel="00000000" w:rsidP="00000000" w:rsidRDefault="00000000" w:rsidRPr="00000000" w14:paraId="0000006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(F13</w:t>
            </w:r>
            <w:r w:rsidDel="00000000" w:rsidR="00000000" w:rsidRPr="00000000">
              <w:rPr>
                <w:rFonts w:ascii="Times New Roman" w:cs="Times New Roman" w:eastAsia="Times New Roman" w:hAnsi="Times New Roman"/>
                <w:sz w:val="20"/>
                <w:szCs w:val="20"/>
                <w:rtl w:val="0"/>
              </w:rPr>
              <w:t xml:space="preserve"> – Firm size: resources/regulation drive disclosure) | </w:t>
            </w:r>
            <w:r w:rsidDel="00000000" w:rsidR="00000000" w:rsidRPr="00000000">
              <w:rPr>
                <w:rFonts w:ascii="Times New Roman" w:cs="Times New Roman" w:eastAsia="Times New Roman" w:hAnsi="Times New Roman"/>
                <w:b w:val="1"/>
                <w:sz w:val="20"/>
                <w:szCs w:val="20"/>
                <w:rtl w:val="0"/>
              </w:rPr>
              <w:t xml:space="preserve">(F19</w:t>
            </w:r>
            <w:r w:rsidDel="00000000" w:rsidR="00000000" w:rsidRPr="00000000">
              <w:rPr>
                <w:rFonts w:ascii="Times New Roman" w:cs="Times New Roman" w:eastAsia="Times New Roman" w:hAnsi="Times New Roman"/>
                <w:sz w:val="20"/>
                <w:szCs w:val="20"/>
                <w:rtl w:val="0"/>
              </w:rPr>
              <w:t xml:space="preserve"> – Audit: independent committees for objectivity)</w:t>
            </w:r>
          </w:p>
        </w:tc>
      </w:tr>
      <w:tr>
        <w:trPr>
          <w:cantSplit w:val="0"/>
          <w:trHeight w:val="127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P15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 Simone et al. (2022)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Global</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(F13</w:t>
            </w:r>
            <w:r w:rsidDel="00000000" w:rsidR="00000000" w:rsidRPr="00000000">
              <w:rPr>
                <w:rFonts w:ascii="Times New Roman" w:cs="Times New Roman" w:eastAsia="Times New Roman" w:hAnsi="Times New Roman"/>
                <w:sz w:val="20"/>
                <w:szCs w:val="20"/>
                <w:rtl w:val="0"/>
              </w:rPr>
              <w:t xml:space="preserve"> – Firm size: resource access for sustainable practices) | </w:t>
            </w:r>
          </w:p>
          <w:p w:rsidR="00000000" w:rsidDel="00000000" w:rsidP="00000000" w:rsidRDefault="00000000" w:rsidRPr="00000000" w14:paraId="0000006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(F2</w:t>
            </w:r>
            <w:r w:rsidDel="00000000" w:rsidR="00000000" w:rsidRPr="00000000">
              <w:rPr>
                <w:rFonts w:ascii="Times New Roman" w:cs="Times New Roman" w:eastAsia="Times New Roman" w:hAnsi="Times New Roman"/>
                <w:sz w:val="20"/>
                <w:szCs w:val="20"/>
                <w:rtl w:val="0"/>
              </w:rPr>
              <w:t xml:space="preserve"> – Profitability: funds ESG; Sectoral Variations: social vs. environmental emphasis by industry) | </w:t>
            </w:r>
          </w:p>
          <w:p w:rsidR="00000000" w:rsidDel="00000000" w:rsidP="00000000" w:rsidRDefault="00000000" w:rsidRPr="00000000" w14:paraId="0000006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(Formal Institutions</w:t>
            </w:r>
            <w:r w:rsidDel="00000000" w:rsidR="00000000" w:rsidRPr="00000000">
              <w:rPr>
                <w:rFonts w:ascii="Times New Roman" w:cs="Times New Roman" w:eastAsia="Times New Roman" w:hAnsi="Times New Roman"/>
                <w:sz w:val="20"/>
                <w:szCs w:val="20"/>
                <w:rtl w:val="0"/>
              </w:rPr>
              <w:t xml:space="preserve"> – Economic Development: higher implementation in developed vs. emerging economies) | </w:t>
            </w:r>
            <w:r w:rsidDel="00000000" w:rsidR="00000000" w:rsidRPr="00000000">
              <w:rPr>
                <w:rFonts w:ascii="Times New Roman" w:cs="Times New Roman" w:eastAsia="Times New Roman" w:hAnsi="Times New Roman"/>
                <w:b w:val="1"/>
                <w:sz w:val="20"/>
                <w:szCs w:val="20"/>
                <w:rtl w:val="0"/>
              </w:rPr>
              <w:t xml:space="preserve">(F11:</w:t>
            </w:r>
            <w:r w:rsidDel="00000000" w:rsidR="00000000" w:rsidRPr="00000000">
              <w:rPr>
                <w:rFonts w:ascii="Times New Roman" w:cs="Times New Roman" w:eastAsia="Times New Roman" w:hAnsi="Times New Roman"/>
                <w:sz w:val="20"/>
                <w:szCs w:val="20"/>
                <w:rtl w:val="0"/>
              </w:rPr>
              <w:t xml:space="preserve"> developed vs. emerging economies differ in mandatory ESG roles)</w:t>
            </w:r>
          </w:p>
        </w:tc>
      </w:tr>
      <w:tr>
        <w:trPr>
          <w:cantSplit w:val="0"/>
          <w:trHeight w:val="247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P16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Daugaard et al. (2022)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Global</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LR</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(Formal Institution</w:t>
            </w:r>
            <w:r w:rsidDel="00000000" w:rsidR="00000000" w:rsidRPr="00000000">
              <w:rPr>
                <w:rFonts w:ascii="Cardo" w:cs="Cardo" w:eastAsia="Cardo" w:hAnsi="Cardo"/>
                <w:sz w:val="20"/>
                <w:szCs w:val="20"/>
                <w:rtl w:val="0"/>
              </w:rPr>
              <w:t xml:space="preserve">s – Economic Development: wealth/governance → better ESG infrastructure) | </w:t>
            </w:r>
          </w:p>
          <w:p w:rsidR="00000000" w:rsidDel="00000000" w:rsidP="00000000" w:rsidRDefault="00000000" w:rsidRPr="00000000" w14:paraId="0000007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(F11</w:t>
            </w:r>
            <w:r w:rsidDel="00000000" w:rsidR="00000000" w:rsidRPr="00000000">
              <w:rPr>
                <w:rFonts w:ascii="Times New Roman" w:cs="Times New Roman" w:eastAsia="Times New Roman" w:hAnsi="Times New Roman"/>
                <w:sz w:val="20"/>
                <w:szCs w:val="20"/>
                <w:rtl w:val="0"/>
              </w:rPr>
              <w:t xml:space="preserve">: mandatory disclosures &amp; governance frameworks enforce ESG) | </w:t>
            </w:r>
          </w:p>
          <w:p w:rsidR="00000000" w:rsidDel="00000000" w:rsidP="00000000" w:rsidRDefault="00000000" w:rsidRPr="00000000" w14:paraId="0000007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(F12</w:t>
            </w:r>
            <w:r w:rsidDel="00000000" w:rsidR="00000000" w:rsidRPr="00000000">
              <w:rPr>
                <w:rFonts w:ascii="Times New Roman" w:cs="Times New Roman" w:eastAsia="Times New Roman" w:hAnsi="Times New Roman"/>
                <w:sz w:val="20"/>
                <w:szCs w:val="20"/>
                <w:rtl w:val="0"/>
              </w:rPr>
              <w:t xml:space="preserve"> – Governance approach: board diversity, ethics &amp; policies ensure strategic ESG) | </w:t>
            </w:r>
          </w:p>
          <w:p w:rsidR="00000000" w:rsidDel="00000000" w:rsidP="00000000" w:rsidRDefault="00000000" w:rsidRPr="00000000" w14:paraId="0000007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F14</w:t>
            </w:r>
            <w:r w:rsidDel="00000000" w:rsidR="00000000" w:rsidRPr="00000000">
              <w:rPr>
                <w:rFonts w:ascii="Times New Roman" w:cs="Times New Roman" w:eastAsia="Times New Roman" w:hAnsi="Times New Roman"/>
                <w:sz w:val="20"/>
                <w:szCs w:val="20"/>
                <w:rtl w:val="0"/>
              </w:rPr>
              <w:t xml:space="preserve"> – Investors; employees; customers; NGOs: broad stakeholder engagement drives adoption ;Institutional Investors/customers: ESG integration pressure) | </w:t>
            </w:r>
          </w:p>
          <w:p w:rsidR="00000000" w:rsidDel="00000000" w:rsidP="00000000" w:rsidRDefault="00000000" w:rsidRPr="00000000" w14:paraId="0000007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Informal Institutions</w:t>
            </w:r>
            <w:r w:rsidDel="00000000" w:rsidR="00000000" w:rsidRPr="00000000">
              <w:rPr>
                <w:rFonts w:ascii="Times New Roman" w:cs="Times New Roman" w:eastAsia="Times New Roman" w:hAnsi="Times New Roman"/>
                <w:sz w:val="20"/>
                <w:szCs w:val="20"/>
                <w:rtl w:val="0"/>
              </w:rPr>
              <w:t xml:space="preserve"> – Cultural norms: e.g. Islamic finance stewardship) | </w:t>
            </w:r>
          </w:p>
          <w:p w:rsidR="00000000" w:rsidDel="00000000" w:rsidP="00000000" w:rsidRDefault="00000000" w:rsidRPr="00000000" w14:paraId="0000007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F2</w:t>
            </w:r>
            <w:r w:rsidDel="00000000" w:rsidR="00000000" w:rsidRPr="00000000">
              <w:rPr>
                <w:rFonts w:ascii="Times New Roman" w:cs="Times New Roman" w:eastAsia="Times New Roman" w:hAnsi="Times New Roman"/>
                <w:sz w:val="20"/>
                <w:szCs w:val="20"/>
                <w:rtl w:val="0"/>
              </w:rPr>
              <w:t xml:space="preserve"> – Sectoral Variations: industry-specific scrutiny) | </w:t>
            </w:r>
          </w:p>
          <w:p w:rsidR="00000000" w:rsidDel="00000000" w:rsidP="00000000" w:rsidRDefault="00000000" w:rsidRPr="00000000" w14:paraId="0000007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F5</w:t>
            </w:r>
            <w:r w:rsidDel="00000000" w:rsidR="00000000" w:rsidRPr="00000000">
              <w:rPr>
                <w:rFonts w:ascii="Times New Roman" w:cs="Times New Roman" w:eastAsia="Times New Roman" w:hAnsi="Times New Roman"/>
                <w:sz w:val="20"/>
                <w:szCs w:val="20"/>
                <w:rtl w:val="0"/>
              </w:rPr>
              <w:t xml:space="preserve"> – UN SDGs; GRI: global standardization) | </w:t>
            </w:r>
          </w:p>
          <w:p w:rsidR="00000000" w:rsidDel="00000000" w:rsidP="00000000" w:rsidRDefault="00000000" w:rsidRPr="00000000" w14:paraId="0000007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Informal Institutions</w:t>
            </w:r>
            <w:r w:rsidDel="00000000" w:rsidR="00000000" w:rsidRPr="00000000">
              <w:rPr>
                <w:rFonts w:ascii="Times New Roman" w:cs="Times New Roman" w:eastAsia="Times New Roman" w:hAnsi="Times New Roman"/>
                <w:sz w:val="20"/>
                <w:szCs w:val="20"/>
                <w:rtl w:val="0"/>
              </w:rPr>
              <w:t xml:space="preserve"> – Media attention: public scrutiny motivates ESG) | </w:t>
            </w:r>
          </w:p>
          <w:p w:rsidR="00000000" w:rsidDel="00000000" w:rsidP="00000000" w:rsidRDefault="00000000" w:rsidRPr="00000000" w14:paraId="0000007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Digital transformation</w:t>
            </w:r>
            <w:r w:rsidDel="00000000" w:rsidR="00000000" w:rsidRPr="00000000">
              <w:rPr>
                <w:rFonts w:ascii="Times New Roman" w:cs="Times New Roman" w:eastAsia="Times New Roman" w:hAnsi="Times New Roman"/>
                <w:sz w:val="20"/>
                <w:szCs w:val="20"/>
                <w:rtl w:val="0"/>
              </w:rPr>
              <w:t xml:space="preserve"> – Blockchain: data analytics &amp; transparent reporting)</w:t>
            </w:r>
          </w:p>
        </w:tc>
      </w:tr>
      <w:tr>
        <w:trPr>
          <w:cantSplit w:val="0"/>
          <w:trHeight w:val="199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P17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Helfaya et al. (2023)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Europe</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F8</w:t>
            </w:r>
            <w:r w:rsidDel="00000000" w:rsidR="00000000" w:rsidRPr="00000000">
              <w:rPr>
                <w:rFonts w:ascii="Times New Roman" w:cs="Times New Roman" w:eastAsia="Times New Roman" w:hAnsi="Times New Roman"/>
                <w:sz w:val="20"/>
                <w:szCs w:val="20"/>
                <w:rtl w:val="0"/>
              </w:rPr>
              <w:t xml:space="preserve">: non-executive directors ensure unbiased ESG oversight) | </w:t>
            </w:r>
          </w:p>
          <w:p w:rsidR="00000000" w:rsidDel="00000000" w:rsidP="00000000" w:rsidRDefault="00000000" w:rsidRPr="00000000" w14:paraId="0000007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F7</w:t>
            </w:r>
            <w:r w:rsidDel="00000000" w:rsidR="00000000" w:rsidRPr="00000000">
              <w:rPr>
                <w:rFonts w:ascii="Times New Roman" w:cs="Times New Roman" w:eastAsia="Times New Roman" w:hAnsi="Times New Roman"/>
                <w:sz w:val="20"/>
                <w:szCs w:val="20"/>
                <w:rtl w:val="0"/>
              </w:rPr>
              <w:t xml:space="preserve"> – Gender: female directors focus on social/enviro responsibilities) | </w:t>
            </w:r>
          </w:p>
          <w:p w:rsidR="00000000" w:rsidDel="00000000" w:rsidP="00000000" w:rsidRDefault="00000000" w:rsidRPr="00000000" w14:paraId="0000007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F15</w:t>
            </w:r>
            <w:r w:rsidDel="00000000" w:rsidR="00000000" w:rsidRPr="00000000">
              <w:rPr>
                <w:rFonts w:ascii="Times New Roman" w:cs="Times New Roman" w:eastAsia="Times New Roman" w:hAnsi="Times New Roman"/>
                <w:sz w:val="20"/>
                <w:szCs w:val="20"/>
                <w:rtl w:val="0"/>
              </w:rPr>
              <w:t xml:space="preserve">: CSR committees improve governance &amp; risk/opportunity identification) | </w:t>
            </w:r>
          </w:p>
          <w:p w:rsidR="00000000" w:rsidDel="00000000" w:rsidP="00000000" w:rsidRDefault="00000000" w:rsidRPr="00000000" w14:paraId="0000007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F5</w:t>
            </w:r>
            <w:r w:rsidDel="00000000" w:rsidR="00000000" w:rsidRPr="00000000">
              <w:rPr>
                <w:rFonts w:ascii="Times New Roman" w:cs="Times New Roman" w:eastAsia="Times New Roman" w:hAnsi="Times New Roman"/>
                <w:sz w:val="20"/>
                <w:szCs w:val="20"/>
                <w:rtl w:val="0"/>
              </w:rPr>
              <w:t xml:space="preserve">: ESG guidelines standardize, legitimize global ESG metrics) | </w:t>
            </w:r>
          </w:p>
          <w:p w:rsidR="00000000" w:rsidDel="00000000" w:rsidP="00000000" w:rsidRDefault="00000000" w:rsidRPr="00000000" w14:paraId="0000008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Informal Institutions</w:t>
            </w:r>
            <w:r w:rsidDel="00000000" w:rsidR="00000000" w:rsidRPr="00000000">
              <w:rPr>
                <w:rFonts w:ascii="Times New Roman" w:cs="Times New Roman" w:eastAsia="Times New Roman" w:hAnsi="Times New Roman"/>
                <w:sz w:val="20"/>
                <w:szCs w:val="20"/>
                <w:rtl w:val="0"/>
              </w:rPr>
              <w:t xml:space="preserve"> – Cultures: individualism &amp; uncertainty-avoidance shape reporting) | </w:t>
            </w:r>
          </w:p>
          <w:p w:rsidR="00000000" w:rsidDel="00000000" w:rsidP="00000000" w:rsidRDefault="00000000" w:rsidRPr="00000000" w14:paraId="0000008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F6</w:t>
            </w:r>
            <w:r w:rsidDel="00000000" w:rsidR="00000000" w:rsidRPr="00000000">
              <w:rPr>
                <w:rFonts w:ascii="Times New Roman" w:cs="Times New Roman" w:eastAsia="Times New Roman" w:hAnsi="Times New Roman"/>
                <w:sz w:val="20"/>
                <w:szCs w:val="20"/>
                <w:rtl w:val="0"/>
              </w:rPr>
              <w:t xml:space="preserve">: board size for strategy development) | </w:t>
            </w:r>
          </w:p>
          <w:p w:rsidR="00000000" w:rsidDel="00000000" w:rsidP="00000000" w:rsidRDefault="00000000" w:rsidRPr="00000000" w14:paraId="0000008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F11</w:t>
            </w:r>
            <w:r w:rsidDel="00000000" w:rsidR="00000000" w:rsidRPr="00000000">
              <w:rPr>
                <w:rFonts w:ascii="Cardo" w:cs="Cardo" w:eastAsia="Cardo" w:hAnsi="Cardo"/>
                <w:sz w:val="20"/>
                <w:szCs w:val="20"/>
                <w:rtl w:val="0"/>
              </w:rPr>
              <w:t xml:space="preserve">: strong regulation → higher disclosure scores) | </w:t>
            </w:r>
          </w:p>
          <w:p w:rsidR="00000000" w:rsidDel="00000000" w:rsidP="00000000" w:rsidRDefault="00000000" w:rsidRPr="00000000" w14:paraId="0000008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F12</w:t>
            </w:r>
            <w:r w:rsidDel="00000000" w:rsidR="00000000" w:rsidRPr="00000000">
              <w:rPr>
                <w:rFonts w:ascii="Times New Roman" w:cs="Times New Roman" w:eastAsia="Times New Roman" w:hAnsi="Times New Roman"/>
                <w:sz w:val="20"/>
                <w:szCs w:val="20"/>
                <w:rtl w:val="0"/>
              </w:rPr>
              <w:t xml:space="preserve"> – Board Meeting Frequency: engagement level for ESG issues)</w:t>
            </w:r>
          </w:p>
        </w:tc>
      </w:tr>
      <w:tr>
        <w:trPr>
          <w:cantSplit w:val="0"/>
          <w:trHeight w:val="17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P18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Kong et al. (2023)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Central and Southern Africa</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F3</w:t>
            </w:r>
            <w:r w:rsidDel="00000000" w:rsidR="00000000" w:rsidRPr="00000000">
              <w:rPr>
                <w:rFonts w:ascii="Times New Roman" w:cs="Times New Roman" w:eastAsia="Times New Roman" w:hAnsi="Times New Roman"/>
                <w:sz w:val="20"/>
                <w:szCs w:val="20"/>
                <w:rtl w:val="0"/>
              </w:rPr>
              <w:t xml:space="preserve">: environmental performance drives firm value, esp. in pharma) | </w:t>
            </w:r>
          </w:p>
          <w:p w:rsidR="00000000" w:rsidDel="00000000" w:rsidP="00000000" w:rsidRDefault="00000000" w:rsidRPr="00000000" w14:paraId="0000008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F12</w:t>
            </w:r>
            <w:r w:rsidDel="00000000" w:rsidR="00000000" w:rsidRPr="00000000">
              <w:rPr>
                <w:rFonts w:ascii="Times New Roman" w:cs="Times New Roman" w:eastAsia="Times New Roman" w:hAnsi="Times New Roman"/>
                <w:sz w:val="20"/>
                <w:szCs w:val="20"/>
                <w:rtl w:val="0"/>
              </w:rPr>
              <w:t xml:space="preserve"> – Social welfare: stakeholder trust &amp; legitimacy; slightly lower direct financial impact) | </w:t>
            </w:r>
          </w:p>
          <w:p w:rsidR="00000000" w:rsidDel="00000000" w:rsidP="00000000" w:rsidRDefault="00000000" w:rsidRPr="00000000" w14:paraId="0000008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F7</w:t>
            </w:r>
            <w:r w:rsidDel="00000000" w:rsidR="00000000" w:rsidRPr="00000000">
              <w:rPr>
                <w:rFonts w:ascii="Times New Roman" w:cs="Times New Roman" w:eastAsia="Times New Roman" w:hAnsi="Times New Roman"/>
                <w:sz w:val="20"/>
                <w:szCs w:val="20"/>
                <w:rtl w:val="0"/>
              </w:rPr>
              <w:t xml:space="preserve"> – Racial diversity: oversight benefit but muted short-term financial effect) | </w:t>
            </w:r>
          </w:p>
          <w:p w:rsidR="00000000" w:rsidDel="00000000" w:rsidP="00000000" w:rsidRDefault="00000000" w:rsidRPr="00000000" w14:paraId="0000008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F14</w:t>
            </w:r>
            <w:r w:rsidDel="00000000" w:rsidR="00000000" w:rsidRPr="00000000">
              <w:rPr>
                <w:rFonts w:ascii="Cardo" w:cs="Cardo" w:eastAsia="Cardo" w:hAnsi="Cardo"/>
                <w:sz w:val="20"/>
                <w:szCs w:val="20"/>
                <w:rtl w:val="0"/>
              </w:rPr>
              <w:t xml:space="preserve"> – Investors; customers: clear policies → trust but modest value impact) | </w:t>
            </w:r>
          </w:p>
          <w:p w:rsidR="00000000" w:rsidDel="00000000" w:rsidP="00000000" w:rsidRDefault="00000000" w:rsidRPr="00000000" w14:paraId="0000008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F11</w:t>
            </w:r>
            <w:r w:rsidDel="00000000" w:rsidR="00000000" w:rsidRPr="00000000">
              <w:rPr>
                <w:rFonts w:ascii="Cardo" w:cs="Cardo" w:eastAsia="Cardo" w:hAnsi="Cardo"/>
                <w:sz w:val="20"/>
                <w:szCs w:val="20"/>
                <w:rtl w:val="0"/>
              </w:rPr>
              <w:t xml:space="preserve">: risk-management disclosure → indirect ESG value)| </w:t>
            </w:r>
          </w:p>
          <w:p w:rsidR="00000000" w:rsidDel="00000000" w:rsidP="00000000" w:rsidRDefault="00000000" w:rsidRPr="00000000" w14:paraId="0000008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(Digital transformation: tech as enabler of enviro &amp; social initiatives) | </w:t>
            </w:r>
          </w:p>
          <w:p w:rsidR="00000000" w:rsidDel="00000000" w:rsidP="00000000" w:rsidRDefault="00000000" w:rsidRPr="00000000" w14:paraId="0000008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Informal Institutions</w:t>
            </w:r>
            <w:r w:rsidDel="00000000" w:rsidR="00000000" w:rsidRPr="00000000">
              <w:rPr>
                <w:rFonts w:ascii="Times New Roman" w:cs="Times New Roman" w:eastAsia="Times New Roman" w:hAnsi="Times New Roman"/>
                <w:sz w:val="20"/>
                <w:szCs w:val="20"/>
                <w:rtl w:val="0"/>
              </w:rPr>
              <w:t xml:space="preserve"> – Legitimacy pressure: norm alignment for ESG)</w:t>
            </w:r>
          </w:p>
        </w:tc>
      </w:tr>
      <w:tr>
        <w:trPr>
          <w:cantSplit w:val="0"/>
          <w:trHeight w:val="79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P19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Issa (2023)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Europe</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F7</w:t>
            </w:r>
            <w:r w:rsidDel="00000000" w:rsidR="00000000" w:rsidRPr="00000000">
              <w:rPr>
                <w:rFonts w:ascii="Cardo" w:cs="Cardo" w:eastAsia="Cardo" w:hAnsi="Cardo"/>
                <w:sz w:val="20"/>
                <w:szCs w:val="20"/>
                <w:rtl w:val="0"/>
              </w:rPr>
              <w:t xml:space="preserve"> – Gender: more women on boards → greater clean-energy adoption)</w:t>
            </w:r>
          </w:p>
        </w:tc>
      </w:tr>
      <w:tr>
        <w:trPr>
          <w:cantSplit w:val="0"/>
          <w:trHeight w:val="127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P20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Cucari et al. (2018)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Italy</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F8</w:t>
            </w:r>
            <w:r w:rsidDel="00000000" w:rsidR="00000000" w:rsidRPr="00000000">
              <w:rPr>
                <w:rFonts w:ascii="Cardo" w:cs="Cardo" w:eastAsia="Cardo" w:hAnsi="Cardo"/>
                <w:sz w:val="20"/>
                <w:szCs w:val="20"/>
                <w:rtl w:val="0"/>
              </w:rPr>
              <w:t xml:space="preserve">: independent directors → transparency &amp; higher ESG scores) | </w:t>
            </w:r>
          </w:p>
          <w:p w:rsidR="00000000" w:rsidDel="00000000" w:rsidP="00000000" w:rsidRDefault="00000000" w:rsidRPr="00000000" w14:paraId="0000009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F15</w:t>
            </w:r>
            <w:r w:rsidDel="00000000" w:rsidR="00000000" w:rsidRPr="00000000">
              <w:rPr>
                <w:rFonts w:ascii="Cardo" w:cs="Cardo" w:eastAsia="Cardo" w:hAnsi="Cardo"/>
                <w:sz w:val="20"/>
                <w:szCs w:val="20"/>
                <w:rtl w:val="0"/>
              </w:rPr>
              <w:t xml:space="preserve">: CSR committee presence → better ESG scores) | (</w:t>
            </w:r>
            <w:r w:rsidDel="00000000" w:rsidR="00000000" w:rsidRPr="00000000">
              <w:rPr>
                <w:rFonts w:ascii="Times New Roman" w:cs="Times New Roman" w:eastAsia="Times New Roman" w:hAnsi="Times New Roman"/>
                <w:b w:val="1"/>
                <w:sz w:val="20"/>
                <w:szCs w:val="20"/>
                <w:rtl w:val="0"/>
              </w:rPr>
              <w:t xml:space="preserve">F7</w:t>
            </w:r>
            <w:r w:rsidDel="00000000" w:rsidR="00000000" w:rsidRPr="00000000">
              <w:rPr>
                <w:rFonts w:ascii="Times New Roman" w:cs="Times New Roman" w:eastAsia="Times New Roman" w:hAnsi="Times New Roman"/>
                <w:sz w:val="20"/>
                <w:szCs w:val="20"/>
                <w:rtl w:val="0"/>
              </w:rPr>
              <w:t xml:space="preserve"> – Gender: mere presence not enough for ESG enhancement) | </w:t>
            </w:r>
          </w:p>
          <w:p w:rsidR="00000000" w:rsidDel="00000000" w:rsidP="00000000" w:rsidRDefault="00000000" w:rsidRPr="00000000" w14:paraId="0000009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F13</w:t>
            </w:r>
            <w:r w:rsidDel="00000000" w:rsidR="00000000" w:rsidRPr="00000000">
              <w:rPr>
                <w:rFonts w:ascii="Times New Roman" w:cs="Times New Roman" w:eastAsia="Times New Roman" w:hAnsi="Times New Roman"/>
                <w:sz w:val="20"/>
                <w:szCs w:val="20"/>
                <w:rtl w:val="0"/>
              </w:rPr>
              <w:t xml:space="preserve"> – Firm size: control variable positive association) | (</w:t>
            </w:r>
            <w:r w:rsidDel="00000000" w:rsidR="00000000" w:rsidRPr="00000000">
              <w:rPr>
                <w:rFonts w:ascii="Times New Roman" w:cs="Times New Roman" w:eastAsia="Times New Roman" w:hAnsi="Times New Roman"/>
                <w:b w:val="1"/>
                <w:sz w:val="20"/>
                <w:szCs w:val="20"/>
                <w:rtl w:val="0"/>
              </w:rPr>
              <w:t xml:space="preserve">F6</w:t>
            </w:r>
            <w:r w:rsidDel="00000000" w:rsidR="00000000" w:rsidRPr="00000000">
              <w:rPr>
                <w:rFonts w:ascii="Times New Roman" w:cs="Times New Roman" w:eastAsia="Times New Roman" w:hAnsi="Times New Roman"/>
                <w:sz w:val="20"/>
                <w:szCs w:val="20"/>
                <w:rtl w:val="0"/>
              </w:rPr>
              <w:t xml:space="preserve"> – Board size: minimal role in ESG)</w:t>
            </w:r>
          </w:p>
        </w:tc>
      </w:tr>
      <w:tr>
        <w:trPr>
          <w:cantSplit w:val="0"/>
          <w:trHeight w:val="17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P21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Ahmad et al. (2024)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Global</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LR</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F3</w:t>
            </w:r>
            <w:r w:rsidDel="00000000" w:rsidR="00000000" w:rsidRPr="00000000">
              <w:rPr>
                <w:rFonts w:ascii="Times New Roman" w:cs="Times New Roman" w:eastAsia="Times New Roman" w:hAnsi="Times New Roman"/>
                <w:sz w:val="20"/>
                <w:szCs w:val="20"/>
                <w:rtl w:val="0"/>
              </w:rPr>
              <w:t xml:space="preserve">: boosts image, reduces risks, promotes sustainability) | (</w:t>
            </w:r>
            <w:r w:rsidDel="00000000" w:rsidR="00000000" w:rsidRPr="00000000">
              <w:rPr>
                <w:rFonts w:ascii="Times New Roman" w:cs="Times New Roman" w:eastAsia="Times New Roman" w:hAnsi="Times New Roman"/>
                <w:b w:val="1"/>
                <w:sz w:val="20"/>
                <w:szCs w:val="20"/>
                <w:rtl w:val="0"/>
              </w:rPr>
              <w:t xml:space="preserve">F8</w:t>
            </w:r>
            <w:r w:rsidDel="00000000" w:rsidR="00000000" w:rsidRPr="00000000">
              <w:rPr>
                <w:rFonts w:ascii="Times New Roman" w:cs="Times New Roman" w:eastAsia="Times New Roman" w:hAnsi="Times New Roman"/>
                <w:sz w:val="20"/>
                <w:szCs w:val="20"/>
                <w:rtl w:val="0"/>
              </w:rPr>
              <w:t xml:space="preserve">: governance structure for policy implementation &amp; confidence) | </w:t>
            </w:r>
          </w:p>
          <w:p w:rsidR="00000000" w:rsidDel="00000000" w:rsidP="00000000" w:rsidRDefault="00000000" w:rsidRPr="00000000" w14:paraId="000000A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F7</w:t>
            </w:r>
            <w:r w:rsidDel="00000000" w:rsidR="00000000" w:rsidRPr="00000000">
              <w:rPr>
                <w:rFonts w:ascii="Times New Roman" w:cs="Times New Roman" w:eastAsia="Times New Roman" w:hAnsi="Times New Roman"/>
                <w:sz w:val="20"/>
                <w:szCs w:val="20"/>
                <w:rtl w:val="0"/>
              </w:rPr>
              <w:t xml:space="preserve"> – Gender: female participation improves decision-making) | </w:t>
            </w:r>
          </w:p>
          <w:p w:rsidR="00000000" w:rsidDel="00000000" w:rsidP="00000000" w:rsidRDefault="00000000" w:rsidRPr="00000000" w14:paraId="000000A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F12</w:t>
            </w:r>
            <w:r w:rsidDel="00000000" w:rsidR="00000000" w:rsidRPr="00000000">
              <w:rPr>
                <w:rFonts w:ascii="Times New Roman" w:cs="Times New Roman" w:eastAsia="Times New Roman" w:hAnsi="Times New Roman"/>
                <w:sz w:val="20"/>
                <w:szCs w:val="20"/>
                <w:rtl w:val="0"/>
              </w:rPr>
              <w:t xml:space="preserve"> – Digital transformation: traceability &amp; reporting efficiency support ESG) | </w:t>
            </w:r>
          </w:p>
          <w:p w:rsidR="00000000" w:rsidDel="00000000" w:rsidP="00000000" w:rsidRDefault="00000000" w:rsidRPr="00000000" w14:paraId="000000A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F2</w:t>
            </w:r>
            <w:r w:rsidDel="00000000" w:rsidR="00000000" w:rsidRPr="00000000">
              <w:rPr>
                <w:rFonts w:ascii="Times New Roman" w:cs="Times New Roman" w:eastAsia="Times New Roman" w:hAnsi="Times New Roman"/>
                <w:sz w:val="20"/>
                <w:szCs w:val="20"/>
                <w:rtl w:val="0"/>
              </w:rPr>
              <w:t xml:space="preserve"> – Profitability: attracts investors &amp; competitive edge) | (</w:t>
            </w:r>
            <w:r w:rsidDel="00000000" w:rsidR="00000000" w:rsidRPr="00000000">
              <w:rPr>
                <w:rFonts w:ascii="Times New Roman" w:cs="Times New Roman" w:eastAsia="Times New Roman" w:hAnsi="Times New Roman"/>
                <w:b w:val="1"/>
                <w:sz w:val="20"/>
                <w:szCs w:val="20"/>
                <w:rtl w:val="0"/>
              </w:rPr>
              <w:t xml:space="preserve">F11</w:t>
            </w:r>
            <w:r w:rsidDel="00000000" w:rsidR="00000000" w:rsidRPr="00000000">
              <w:rPr>
                <w:rFonts w:ascii="Times New Roman" w:cs="Times New Roman" w:eastAsia="Times New Roman" w:hAnsi="Times New Roman"/>
                <w:sz w:val="20"/>
                <w:szCs w:val="20"/>
                <w:rtl w:val="0"/>
              </w:rPr>
              <w:t xml:space="preserve">: mandatory/voluntary reporting frameworks like GRI/SASB) | </w:t>
            </w:r>
          </w:p>
          <w:p w:rsidR="00000000" w:rsidDel="00000000" w:rsidP="00000000" w:rsidRDefault="00000000" w:rsidRPr="00000000" w14:paraId="000000A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Informal Institutions</w:t>
            </w:r>
            <w:r w:rsidDel="00000000" w:rsidR="00000000" w:rsidRPr="00000000">
              <w:rPr>
                <w:rFonts w:ascii="Times New Roman" w:cs="Times New Roman" w:eastAsia="Times New Roman" w:hAnsi="Times New Roman"/>
                <w:sz w:val="20"/>
                <w:szCs w:val="20"/>
                <w:rtl w:val="0"/>
              </w:rPr>
              <w:t xml:space="preserve"> – Media Coverage; Cultures: religious-driven ESG in Islamic countries)</w:t>
            </w:r>
          </w:p>
        </w:tc>
      </w:tr>
      <w:tr>
        <w:trPr>
          <w:cantSplit w:val="0"/>
          <w:trHeight w:val="15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P22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Sciarelli et al. (2021)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Italy, France, Austria, Luxembourg</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F14</w:t>
            </w:r>
            <w:r w:rsidDel="00000000" w:rsidR="00000000" w:rsidRPr="00000000">
              <w:rPr>
                <w:rFonts w:ascii="Times New Roman" w:cs="Times New Roman" w:eastAsia="Times New Roman" w:hAnsi="Times New Roman"/>
                <w:sz w:val="20"/>
                <w:szCs w:val="20"/>
                <w:rtl w:val="0"/>
              </w:rPr>
              <w:t xml:space="preserve"> – Institutional investors: demand stronger ESG/Gender-diverse governance) |</w:t>
            </w:r>
          </w:p>
        </w:tc>
      </w:tr>
      <w:tr>
        <w:trPr>
          <w:cantSplit w:val="0"/>
          <w:trHeight w:val="103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Issa et al. (2023)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Europe</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F7</w:t>
            </w:r>
            <w:r w:rsidDel="00000000" w:rsidR="00000000" w:rsidRPr="00000000">
              <w:rPr>
                <w:rFonts w:ascii="Times New Roman" w:cs="Times New Roman" w:eastAsia="Times New Roman" w:hAnsi="Times New Roman"/>
                <w:sz w:val="20"/>
                <w:szCs w:val="20"/>
                <w:rtl w:val="0"/>
              </w:rPr>
              <w:t xml:space="preserve"> – Gender: better waste management; lower biodiversity impact; ethical decision-making) | </w:t>
            </w:r>
          </w:p>
          <w:p w:rsidR="00000000" w:rsidDel="00000000" w:rsidP="00000000" w:rsidRDefault="00000000" w:rsidRPr="00000000" w14:paraId="000000A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F12</w:t>
            </w:r>
            <w:r w:rsidDel="00000000" w:rsidR="00000000" w:rsidRPr="00000000">
              <w:rPr>
                <w:rFonts w:ascii="Times New Roman" w:cs="Times New Roman" w:eastAsia="Times New Roman" w:hAnsi="Times New Roman"/>
                <w:sz w:val="20"/>
                <w:szCs w:val="20"/>
                <w:rtl w:val="0"/>
              </w:rPr>
              <w:t xml:space="preserve"> – Governance Approach: policy execution &amp; score improvement) | </w:t>
            </w:r>
          </w:p>
          <w:p w:rsidR="00000000" w:rsidDel="00000000" w:rsidP="00000000" w:rsidRDefault="00000000" w:rsidRPr="00000000" w14:paraId="000000A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F3</w:t>
            </w:r>
            <w:r w:rsidDel="00000000" w:rsidR="00000000" w:rsidRPr="00000000">
              <w:rPr>
                <w:rFonts w:ascii="Times New Roman" w:cs="Times New Roman" w:eastAsia="Times New Roman" w:hAnsi="Times New Roman"/>
                <w:sz w:val="20"/>
                <w:szCs w:val="20"/>
                <w:rtl w:val="0"/>
              </w:rPr>
              <w:t xml:space="preserve"> – baseline environmental performance amplifies board-diversity effect) | </w:t>
            </w:r>
          </w:p>
          <w:p w:rsidR="00000000" w:rsidDel="00000000" w:rsidP="00000000" w:rsidRDefault="00000000" w:rsidRPr="00000000" w14:paraId="000000B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F8</w:t>
            </w:r>
            <w:r w:rsidDel="00000000" w:rsidR="00000000" w:rsidRPr="00000000">
              <w:rPr>
                <w:rFonts w:ascii="Times New Roman" w:cs="Times New Roman" w:eastAsia="Times New Roman" w:hAnsi="Times New Roman"/>
                <w:sz w:val="20"/>
                <w:szCs w:val="20"/>
                <w:rtl w:val="0"/>
              </w:rPr>
              <w:t xml:space="preserve">: independent oversight critical for ESG matters) | </w:t>
            </w:r>
          </w:p>
          <w:p w:rsidR="00000000" w:rsidDel="00000000" w:rsidP="00000000" w:rsidRDefault="00000000" w:rsidRPr="00000000" w14:paraId="000000B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F13</w:t>
            </w:r>
            <w:r w:rsidDel="00000000" w:rsidR="00000000" w:rsidRPr="00000000">
              <w:rPr>
                <w:rFonts w:ascii="Times New Roman" w:cs="Times New Roman" w:eastAsia="Times New Roman" w:hAnsi="Times New Roman"/>
                <w:sz w:val="20"/>
                <w:szCs w:val="20"/>
                <w:rtl w:val="0"/>
              </w:rPr>
              <w:t xml:space="preserve"> – Firm size: resource &amp; scrutiny advantages)</w:t>
            </w:r>
          </w:p>
        </w:tc>
      </w:tr>
      <w:tr>
        <w:trPr>
          <w:cantSplit w:val="0"/>
          <w:trHeight w:val="79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P24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 et al. (2018)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United Kingdom</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F12</w:t>
            </w:r>
            <w:r w:rsidDel="00000000" w:rsidR="00000000" w:rsidRPr="00000000">
              <w:rPr>
                <w:rFonts w:ascii="Cardo" w:cs="Cardo" w:eastAsia="Cardo" w:hAnsi="Cardo"/>
                <w:sz w:val="20"/>
                <w:szCs w:val="20"/>
                <w:rtl w:val="0"/>
              </w:rPr>
              <w:t xml:space="preserve"> – CEO power: stronger power → tighter link between ESG disclosure &amp; firm value)</w:t>
            </w:r>
          </w:p>
        </w:tc>
      </w:tr>
      <w:tr>
        <w:trPr>
          <w:cantSplit w:val="0"/>
          <w:trHeight w:val="127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Dicuonzo et al. (2022)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Europe</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F7</w:t>
            </w:r>
            <w:r w:rsidDel="00000000" w:rsidR="00000000" w:rsidRPr="00000000">
              <w:rPr>
                <w:rFonts w:ascii="Times New Roman" w:cs="Times New Roman" w:eastAsia="Times New Roman" w:hAnsi="Times New Roman"/>
                <w:sz w:val="20"/>
                <w:szCs w:val="20"/>
                <w:rtl w:val="0"/>
              </w:rPr>
              <w:t xml:space="preserve"> – Gender: women in leadership support balanced decision-making) | </w:t>
            </w:r>
          </w:p>
          <w:p w:rsidR="00000000" w:rsidDel="00000000" w:rsidP="00000000" w:rsidRDefault="00000000" w:rsidRPr="00000000" w14:paraId="000000B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F8</w:t>
            </w:r>
            <w:r w:rsidDel="00000000" w:rsidR="00000000" w:rsidRPr="00000000">
              <w:rPr>
                <w:rFonts w:ascii="Cardo" w:cs="Cardo" w:eastAsia="Cardo" w:hAnsi="Cardo"/>
                <w:sz w:val="20"/>
                <w:szCs w:val="20"/>
                <w:rtl w:val="0"/>
              </w:rPr>
              <w:t xml:space="preserve">: independent directors → CSR focus) | </w:t>
            </w:r>
          </w:p>
          <w:p w:rsidR="00000000" w:rsidDel="00000000" w:rsidP="00000000" w:rsidRDefault="00000000" w:rsidRPr="00000000" w14:paraId="000000B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F15</w:t>
            </w:r>
            <w:r w:rsidDel="00000000" w:rsidR="00000000" w:rsidRPr="00000000">
              <w:rPr>
                <w:rFonts w:ascii="Times New Roman" w:cs="Times New Roman" w:eastAsia="Times New Roman" w:hAnsi="Times New Roman"/>
                <w:sz w:val="20"/>
                <w:szCs w:val="20"/>
                <w:rtl w:val="0"/>
              </w:rPr>
              <w:t xml:space="preserve">: dedicated committees for sustainability efforts)| </w:t>
            </w:r>
          </w:p>
          <w:p w:rsidR="00000000" w:rsidDel="00000000" w:rsidP="00000000" w:rsidRDefault="00000000" w:rsidRPr="00000000" w14:paraId="000000B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F14</w:t>
            </w:r>
            <w:r w:rsidDel="00000000" w:rsidR="00000000" w:rsidRPr="00000000">
              <w:rPr>
                <w:rFonts w:ascii="Times New Roman" w:cs="Times New Roman" w:eastAsia="Times New Roman" w:hAnsi="Times New Roman"/>
                <w:sz w:val="20"/>
                <w:szCs w:val="20"/>
                <w:rtl w:val="0"/>
              </w:rPr>
              <w:t xml:space="preserve"> – Investors: growing demand for sustainable banking) | </w:t>
            </w:r>
          </w:p>
          <w:p w:rsidR="00000000" w:rsidDel="00000000" w:rsidP="00000000" w:rsidRDefault="00000000" w:rsidRPr="00000000" w14:paraId="000000B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F11</w:t>
            </w:r>
            <w:r w:rsidDel="00000000" w:rsidR="00000000" w:rsidRPr="00000000">
              <w:rPr>
                <w:rFonts w:ascii="Times New Roman" w:cs="Times New Roman" w:eastAsia="Times New Roman" w:hAnsi="Times New Roman"/>
                <w:sz w:val="20"/>
                <w:szCs w:val="20"/>
                <w:rtl w:val="0"/>
              </w:rPr>
              <w:t xml:space="preserve">: EU Action Plan on Sustainable Finance 2018)</w:t>
            </w:r>
          </w:p>
        </w:tc>
      </w:tr>
      <w:tr>
        <w:trPr>
          <w:cantSplit w:val="0"/>
          <w:trHeight w:val="17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P26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Barbosa et al. (2023)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Global</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LR</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Informal Institutions</w:t>
            </w:r>
            <w:r w:rsidDel="00000000" w:rsidR="00000000" w:rsidRPr="00000000">
              <w:rPr>
                <w:rFonts w:ascii="Times New Roman" w:cs="Times New Roman" w:eastAsia="Times New Roman" w:hAnsi="Times New Roman"/>
                <w:sz w:val="20"/>
                <w:szCs w:val="20"/>
                <w:rtl w:val="0"/>
              </w:rPr>
              <w:t xml:space="preserve"> – Culture: Europe’s ESG research leadership reflects regulatory emphasis) | </w:t>
            </w:r>
          </w:p>
          <w:p w:rsidR="00000000" w:rsidDel="00000000" w:rsidP="00000000" w:rsidRDefault="00000000" w:rsidRPr="00000000" w14:paraId="000000C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F2</w:t>
            </w:r>
            <w:r w:rsidDel="00000000" w:rsidR="00000000" w:rsidRPr="00000000">
              <w:rPr>
                <w:rFonts w:ascii="Times New Roman" w:cs="Times New Roman" w:eastAsia="Times New Roman" w:hAnsi="Times New Roman"/>
                <w:sz w:val="20"/>
                <w:szCs w:val="20"/>
                <w:rtl w:val="0"/>
              </w:rPr>
              <w:t xml:space="preserve"> – Sectoral Variations)</w:t>
            </w:r>
          </w:p>
        </w:tc>
      </w:tr>
      <w:tr>
        <w:trPr>
          <w:cantSplit w:val="0"/>
          <w:trHeight w:val="17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P27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Cherian et al. (2019)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India</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F12</w:t>
            </w:r>
            <w:r w:rsidDel="00000000" w:rsidR="00000000" w:rsidRPr="00000000">
              <w:rPr>
                <w:rFonts w:ascii="Times New Roman" w:cs="Times New Roman" w:eastAsia="Times New Roman" w:hAnsi="Times New Roman"/>
                <w:sz w:val="20"/>
                <w:szCs w:val="20"/>
                <w:rtl w:val="0"/>
              </w:rPr>
              <w:t xml:space="preserve"> – Spending in education: drives profits &amp; highlights CSR in skill development)</w:t>
            </w:r>
          </w:p>
        </w:tc>
      </w:tr>
    </w:tbl>
    <w:p w:rsidR="00000000" w:rsidDel="00000000" w:rsidP="00000000" w:rsidRDefault="00000000" w:rsidRPr="00000000" w14:paraId="000000CB">
      <w:pPr>
        <w:rPr>
          <w:rFonts w:ascii="Times New Roman" w:cs="Times New Roman" w:eastAsia="Times New Roman" w:hAnsi="Times New Roman"/>
          <w:color w:val="980000"/>
          <w:sz w:val="28"/>
          <w:szCs w:val="28"/>
          <w:highlight w:val="white"/>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summarized the 27 articles that were included in our content analysis, detailing for each paper its identifying number, authorship, year of publication, geographic focus, methodological approach, and the ESG‐adoption drivers it reported. First, with regard to study design, nineteen of the articles  were empirical investigations, five  took the form of literature reviews, and the remaining three  were conceptual or theoretical papers. Then, in terms of geographic scope, eleven Papers examined global or multi‐country samples, nine  Papers focused exclusively on European markets, four addressed contexts in Asia (notably India and China), and three  investigated African or other developing‐economy settings.</w:t>
      </w:r>
    </w:p>
    <w:p w:rsidR="00000000" w:rsidDel="00000000" w:rsidP="00000000" w:rsidRDefault="00000000" w:rsidRPr="00000000" w14:paraId="000000C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Subsequently, we recorded all ESG drivers identified across these papers, yielding eighteen distinct factors in total. Firm characteristics—such as organizational size, resource endowments, and strategic orientation—emerged as the most frequently cited driver, appearing in twenty‐three of the twenty‐seven studies. Demand by stakeholders (including investors, customers, and non‐governmental organizations) followed closely, having been identified in twenty‐one studies. Market performance metrics (for example, past profitability or revenue trends) were highlighted in seventeen papers, while board diversity and board independence were noted in fifteen  and fourteen studies, respectively. Other recurrent drivers included adherence to voluntary reporting frameworks (twelve studies), the adoption of digital transformation  (n=11), and compliance with mandatory disclosure policies (n=9)).</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pPr>
      <w:r w:rsidDel="00000000" w:rsidR="00000000" w:rsidRPr="00000000">
        <w:rPr>
          <w:rFonts w:ascii="Times New Roman" w:cs="Times New Roman" w:eastAsia="Times New Roman" w:hAnsi="Times New Roman"/>
          <w:b w:val="1"/>
          <w:sz w:val="24"/>
          <w:szCs w:val="24"/>
          <w:rtl w:val="0"/>
        </w:rPr>
        <w:t xml:space="preserve">Table 2.</w:t>
      </w:r>
      <w:r w:rsidDel="00000000" w:rsidR="00000000" w:rsidRPr="00000000">
        <w:rPr>
          <w:rFonts w:ascii="Times New Roman" w:cs="Times New Roman" w:eastAsia="Times New Roman" w:hAnsi="Times New Roman"/>
          <w:sz w:val="24"/>
          <w:szCs w:val="24"/>
          <w:rtl w:val="0"/>
        </w:rPr>
        <w:t xml:space="preserve"> Coding Framework for ESG Adoption Drivers: Categories and Constructs</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tbl>
      <w:tblPr>
        <w:tblStyle w:val="Table2"/>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6375"/>
        <w:tblGridChange w:id="0">
          <w:tblGrid>
            <w:gridCol w:w="2535"/>
            <w:gridCol w:w="6375"/>
          </w:tblGrid>
        </w:tblGridChange>
      </w:tblGrid>
      <w:tr>
        <w:trPr>
          <w:cantSplit w:val="0"/>
          <w:trHeight w:val="450"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D5">
            <w:pPr>
              <w:spacing w:after="16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Taxonomies</w:t>
            </w:r>
          </w:p>
        </w:tc>
        <w:tc>
          <w:tcPr>
            <w:tcBorders>
              <w:top w:color="bfbfbf" w:space="0" w:sz="4" w:val="single"/>
              <w:left w:color="000000" w:space="0" w:sz="0" w:val="nil"/>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D6">
            <w:pPr>
              <w:spacing w:after="16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What was coded from the papers</w:t>
            </w:r>
          </w:p>
        </w:tc>
      </w:tr>
      <w:tr>
        <w:trPr>
          <w:cantSplit w:val="0"/>
          <w:trHeight w:val="1005" w:hRule="atLeast"/>
          <w:tblHeader w:val="0"/>
        </w:trPr>
        <w:tc>
          <w:tcPr>
            <w:tcBorders>
              <w:top w:color="000000" w:space="0" w:sz="0" w:val="nil"/>
              <w:left w:color="bfbfbf" w:space="0" w:sz="4" w:val="single"/>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D7">
            <w:pPr>
              <w:spacing w:after="16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F1: Financial performance</w:t>
            </w:r>
          </w:p>
        </w:tc>
        <w:tc>
          <w:tcPr>
            <w:tcBorders>
              <w:top w:color="000000" w:space="0" w:sz="0" w:val="nil"/>
              <w:left w:color="000000" w:space="0" w:sz="0" w:val="nil"/>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D8">
            <w:pPr>
              <w:spacing w:after="16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Mentions of profitability, shareholder value, stock price performance, or ESG as a tool for financial risk mitigation / reputation insurance</w:t>
            </w:r>
          </w:p>
        </w:tc>
      </w:tr>
      <w:tr>
        <w:trPr>
          <w:cantSplit w:val="0"/>
          <w:trHeight w:val="1005" w:hRule="atLeast"/>
          <w:tblHeader w:val="0"/>
        </w:trPr>
        <w:tc>
          <w:tcPr>
            <w:tcBorders>
              <w:top w:color="000000" w:space="0" w:sz="0" w:val="nil"/>
              <w:left w:color="bfbfbf" w:space="0" w:sz="4" w:val="single"/>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D9">
            <w:pPr>
              <w:spacing w:after="16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F2: Market performance</w:t>
            </w:r>
          </w:p>
        </w:tc>
        <w:tc>
          <w:tcPr>
            <w:tcBorders>
              <w:top w:color="000000" w:space="0" w:sz="0" w:val="nil"/>
              <w:left w:color="000000" w:space="0" w:sz="0" w:val="nil"/>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DA">
            <w:pPr>
              <w:spacing w:after="16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Industry- or market-level dynamics such as sectoral variations, competitive pressures, profitability, and resource allocation affecting ESG adoption</w:t>
            </w:r>
          </w:p>
        </w:tc>
      </w:tr>
      <w:tr>
        <w:trPr>
          <w:cantSplit w:val="0"/>
          <w:trHeight w:val="1005" w:hRule="atLeast"/>
          <w:tblHeader w:val="0"/>
        </w:trPr>
        <w:tc>
          <w:tcPr>
            <w:tcBorders>
              <w:top w:color="000000" w:space="0" w:sz="0" w:val="nil"/>
              <w:left w:color="bfbfbf" w:space="0" w:sz="4" w:val="single"/>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DB">
            <w:pPr>
              <w:spacing w:after="16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F3: Environmental performance</w:t>
            </w:r>
          </w:p>
        </w:tc>
        <w:tc>
          <w:tcPr>
            <w:tcBorders>
              <w:top w:color="000000" w:space="0" w:sz="0" w:val="nil"/>
              <w:left w:color="000000" w:space="0" w:sz="0" w:val="nil"/>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DC">
            <w:pPr>
              <w:spacing w:after="16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Reporting or discussion of emissions reduction, pollution control, resource efficiency, energy use, renewable energy adoption</w:t>
            </w:r>
          </w:p>
        </w:tc>
      </w:tr>
      <w:tr>
        <w:trPr>
          <w:cantSplit w:val="0"/>
          <w:trHeight w:val="720" w:hRule="atLeast"/>
          <w:tblHeader w:val="0"/>
        </w:trPr>
        <w:tc>
          <w:tcPr>
            <w:tcBorders>
              <w:top w:color="000000" w:space="0" w:sz="0" w:val="nil"/>
              <w:left w:color="bfbfbf" w:space="0" w:sz="4" w:val="single"/>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DD">
            <w:pPr>
              <w:spacing w:after="16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F4: Earnings quality</w:t>
            </w:r>
          </w:p>
        </w:tc>
        <w:tc>
          <w:tcPr>
            <w:tcBorders>
              <w:top w:color="000000" w:space="0" w:sz="0" w:val="nil"/>
              <w:left w:color="000000" w:space="0" w:sz="0" w:val="nil"/>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DE">
            <w:pPr>
              <w:spacing w:after="16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Accounting quality, earnings transparency, and financial reporting integrity in relation to ESG</w:t>
            </w:r>
          </w:p>
        </w:tc>
      </w:tr>
      <w:tr>
        <w:trPr>
          <w:cantSplit w:val="0"/>
          <w:trHeight w:val="720" w:hRule="atLeast"/>
          <w:tblHeader w:val="0"/>
        </w:trPr>
        <w:tc>
          <w:tcPr>
            <w:tcBorders>
              <w:top w:color="000000" w:space="0" w:sz="0" w:val="nil"/>
              <w:left w:color="bfbfbf" w:space="0" w:sz="4" w:val="single"/>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DF">
            <w:pPr>
              <w:spacing w:after="16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F5: ESG reporting guidelines</w:t>
            </w:r>
          </w:p>
        </w:tc>
        <w:tc>
          <w:tcPr>
            <w:tcBorders>
              <w:top w:color="000000" w:space="0" w:sz="0" w:val="nil"/>
              <w:left w:color="000000" w:space="0" w:sz="0" w:val="nil"/>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E0">
            <w:pPr>
              <w:spacing w:after="16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of frameworks such as GRI, SASB, CSRD, NFRD, TCFD, or equivalent standards guiding ESG disclosure</w:t>
            </w:r>
          </w:p>
        </w:tc>
      </w:tr>
      <w:tr>
        <w:trPr>
          <w:cantSplit w:val="0"/>
          <w:trHeight w:val="720" w:hRule="atLeast"/>
          <w:tblHeader w:val="0"/>
        </w:trPr>
        <w:tc>
          <w:tcPr>
            <w:tcBorders>
              <w:top w:color="000000" w:space="0" w:sz="0" w:val="nil"/>
              <w:left w:color="bfbfbf" w:space="0" w:sz="4" w:val="single"/>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E1">
            <w:pPr>
              <w:spacing w:after="16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F6: Board size</w:t>
            </w:r>
          </w:p>
        </w:tc>
        <w:tc>
          <w:tcPr>
            <w:tcBorders>
              <w:top w:color="000000" w:space="0" w:sz="0" w:val="nil"/>
              <w:left w:color="000000" w:space="0" w:sz="0" w:val="nil"/>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E2">
            <w:pPr>
              <w:spacing w:after="16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directors on the board as a factor influencing ESG decision-making</w:t>
            </w:r>
          </w:p>
        </w:tc>
      </w:tr>
      <w:tr>
        <w:trPr>
          <w:cantSplit w:val="0"/>
          <w:trHeight w:val="720" w:hRule="atLeast"/>
          <w:tblHeader w:val="0"/>
        </w:trPr>
        <w:tc>
          <w:tcPr>
            <w:tcBorders>
              <w:top w:color="000000" w:space="0" w:sz="0" w:val="nil"/>
              <w:left w:color="bfbfbf" w:space="0" w:sz="4" w:val="single"/>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E3">
            <w:pPr>
              <w:spacing w:after="16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F7: Board diversity</w:t>
            </w:r>
          </w:p>
        </w:tc>
        <w:tc>
          <w:tcPr>
            <w:tcBorders>
              <w:top w:color="000000" w:space="0" w:sz="0" w:val="nil"/>
              <w:left w:color="000000" w:space="0" w:sz="0" w:val="nil"/>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E4">
            <w:pPr>
              <w:spacing w:after="16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Representation of women and racial/ethnic minorities on corporate boards</w:t>
            </w:r>
          </w:p>
        </w:tc>
      </w:tr>
      <w:tr>
        <w:trPr>
          <w:cantSplit w:val="0"/>
          <w:trHeight w:val="720" w:hRule="atLeast"/>
          <w:tblHeader w:val="0"/>
        </w:trPr>
        <w:tc>
          <w:tcPr>
            <w:tcBorders>
              <w:top w:color="000000" w:space="0" w:sz="0" w:val="nil"/>
              <w:left w:color="bfbfbf" w:space="0" w:sz="4" w:val="single"/>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E5">
            <w:pPr>
              <w:spacing w:after="16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F8: Board independence</w:t>
            </w:r>
          </w:p>
        </w:tc>
        <w:tc>
          <w:tcPr>
            <w:tcBorders>
              <w:top w:color="000000" w:space="0" w:sz="0" w:val="nil"/>
              <w:left w:color="000000" w:space="0" w:sz="0" w:val="nil"/>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E6">
            <w:pPr>
              <w:spacing w:after="16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Proportion of independent or non-executive directors; separation of CEO and chair roles</w:t>
            </w:r>
          </w:p>
        </w:tc>
      </w:tr>
      <w:tr>
        <w:trPr>
          <w:cantSplit w:val="0"/>
          <w:trHeight w:val="720" w:hRule="atLeast"/>
          <w:tblHeader w:val="0"/>
        </w:trPr>
        <w:tc>
          <w:tcPr>
            <w:tcBorders>
              <w:top w:color="000000" w:space="0" w:sz="0" w:val="nil"/>
              <w:left w:color="bfbfbf" w:space="0" w:sz="4" w:val="single"/>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E7">
            <w:pPr>
              <w:spacing w:after="16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F9: Signaling future performance</w:t>
            </w:r>
          </w:p>
        </w:tc>
        <w:tc>
          <w:tcPr>
            <w:tcBorders>
              <w:top w:color="000000" w:space="0" w:sz="0" w:val="nil"/>
              <w:left w:color="000000" w:space="0" w:sz="0" w:val="nil"/>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E8">
            <w:pPr>
              <w:spacing w:after="16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of ESG reporting to signal long-term growth potential or reduced risk to markets and investors</w:t>
            </w:r>
          </w:p>
        </w:tc>
      </w:tr>
      <w:tr>
        <w:trPr>
          <w:cantSplit w:val="0"/>
          <w:trHeight w:val="720" w:hRule="atLeast"/>
          <w:tblHeader w:val="0"/>
        </w:trPr>
        <w:tc>
          <w:tcPr>
            <w:tcBorders>
              <w:top w:color="000000" w:space="0" w:sz="0" w:val="nil"/>
              <w:left w:color="bfbfbf" w:space="0" w:sz="4" w:val="single"/>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E9">
            <w:pPr>
              <w:spacing w:after="16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F10: Third-party ratings</w:t>
            </w:r>
          </w:p>
        </w:tc>
        <w:tc>
          <w:tcPr>
            <w:tcBorders>
              <w:top w:color="000000" w:space="0" w:sz="0" w:val="nil"/>
              <w:left w:color="000000" w:space="0" w:sz="0" w:val="nil"/>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EA">
            <w:pPr>
              <w:spacing w:after="16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ESG scores and evaluations from external agencies (e.g., MSCI, Sustainalytics, Refinitiv)</w:t>
            </w:r>
          </w:p>
        </w:tc>
      </w:tr>
      <w:tr>
        <w:trPr>
          <w:cantSplit w:val="0"/>
          <w:trHeight w:val="720" w:hRule="atLeast"/>
          <w:tblHeader w:val="0"/>
        </w:trPr>
        <w:tc>
          <w:tcPr>
            <w:tcBorders>
              <w:top w:color="000000" w:space="0" w:sz="0" w:val="nil"/>
              <w:left w:color="bfbfbf" w:space="0" w:sz="4" w:val="single"/>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EB">
            <w:pPr>
              <w:spacing w:after="16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F11: Mandatory disclosure policies</w:t>
            </w:r>
          </w:p>
        </w:tc>
        <w:tc>
          <w:tcPr>
            <w:tcBorders>
              <w:top w:color="000000" w:space="0" w:sz="0" w:val="nil"/>
              <w:left w:color="000000" w:space="0" w:sz="0" w:val="nil"/>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EC">
            <w:pPr>
              <w:spacing w:after="16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requirements such as EU CSRD, NFRD, SEC rules, or national sustainability mandates</w:t>
            </w:r>
          </w:p>
        </w:tc>
      </w:tr>
      <w:tr>
        <w:trPr>
          <w:cantSplit w:val="0"/>
          <w:trHeight w:val="720" w:hRule="atLeast"/>
          <w:tblHeader w:val="0"/>
        </w:trPr>
        <w:tc>
          <w:tcPr>
            <w:tcBorders>
              <w:top w:color="000000" w:space="0" w:sz="0" w:val="nil"/>
              <w:left w:color="bfbfbf" w:space="0" w:sz="4" w:val="single"/>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ED">
            <w:pPr>
              <w:spacing w:after="16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F12: Managerial attributes</w:t>
            </w:r>
          </w:p>
        </w:tc>
        <w:tc>
          <w:tcPr>
            <w:tcBorders>
              <w:top w:color="000000" w:space="0" w:sz="0" w:val="nil"/>
              <w:left w:color="000000" w:space="0" w:sz="0" w:val="nil"/>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EE">
            <w:pPr>
              <w:spacing w:after="16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CEO or top management traits, leadership style, compensation structure, ESG expertise, and personal commitment</w:t>
            </w:r>
          </w:p>
        </w:tc>
      </w:tr>
      <w:tr>
        <w:trPr>
          <w:cantSplit w:val="0"/>
          <w:trHeight w:val="720" w:hRule="atLeast"/>
          <w:tblHeader w:val="0"/>
        </w:trPr>
        <w:tc>
          <w:tcPr>
            <w:tcBorders>
              <w:top w:color="000000" w:space="0" w:sz="0" w:val="nil"/>
              <w:left w:color="bfbfbf" w:space="0" w:sz="4" w:val="single"/>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EF">
            <w:pPr>
              <w:spacing w:after="16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F13: Firm characteristics</w:t>
            </w:r>
          </w:p>
        </w:tc>
        <w:tc>
          <w:tcPr>
            <w:tcBorders>
              <w:top w:color="000000" w:space="0" w:sz="0" w:val="nil"/>
              <w:left w:color="000000" w:space="0" w:sz="0" w:val="nil"/>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F0">
            <w:pPr>
              <w:spacing w:after="16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Internal features including firm size, corporate governance structures, and risk profile</w:t>
            </w:r>
          </w:p>
        </w:tc>
      </w:tr>
      <w:tr>
        <w:trPr>
          <w:cantSplit w:val="0"/>
          <w:trHeight w:val="720" w:hRule="atLeast"/>
          <w:tblHeader w:val="0"/>
        </w:trPr>
        <w:tc>
          <w:tcPr>
            <w:tcBorders>
              <w:top w:color="000000" w:space="0" w:sz="0" w:val="nil"/>
              <w:left w:color="bfbfbf" w:space="0" w:sz="4" w:val="single"/>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F1">
            <w:pPr>
              <w:spacing w:after="16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F14: Demand by stakeholders</w:t>
            </w:r>
          </w:p>
        </w:tc>
        <w:tc>
          <w:tcPr>
            <w:tcBorders>
              <w:top w:color="000000" w:space="0" w:sz="0" w:val="nil"/>
              <w:left w:color="000000" w:space="0" w:sz="0" w:val="nil"/>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F2">
            <w:pPr>
              <w:spacing w:after="16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Pressures from investors, shareholders, customers, employees, institutional investors, impact investors, and NGOs</w:t>
            </w:r>
          </w:p>
        </w:tc>
      </w:tr>
      <w:tr>
        <w:trPr>
          <w:cantSplit w:val="0"/>
          <w:trHeight w:val="720" w:hRule="atLeast"/>
          <w:tblHeader w:val="0"/>
        </w:trPr>
        <w:tc>
          <w:tcPr>
            <w:tcBorders>
              <w:top w:color="000000" w:space="0" w:sz="0" w:val="nil"/>
              <w:left w:color="bfbfbf" w:space="0" w:sz="4" w:val="single"/>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F3">
            <w:pPr>
              <w:spacing w:after="16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F15: Presence of CSR committee</w:t>
            </w:r>
          </w:p>
        </w:tc>
        <w:tc>
          <w:tcPr>
            <w:tcBorders>
              <w:top w:color="000000" w:space="0" w:sz="0" w:val="nil"/>
              <w:left w:color="000000" w:space="0" w:sz="0" w:val="nil"/>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F4">
            <w:pPr>
              <w:spacing w:after="16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Existence of a dedicated CSR/ESG/sustainability committee within the governance structure</w:t>
            </w:r>
          </w:p>
        </w:tc>
      </w:tr>
      <w:tr>
        <w:trPr>
          <w:cantSplit w:val="0"/>
          <w:trHeight w:val="720" w:hRule="atLeast"/>
          <w:tblHeader w:val="0"/>
        </w:trPr>
        <w:tc>
          <w:tcPr>
            <w:tcBorders>
              <w:top w:color="000000" w:space="0" w:sz="0" w:val="nil"/>
              <w:left w:color="bfbfbf" w:space="0" w:sz="4" w:val="single"/>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F5">
            <w:pPr>
              <w:spacing w:after="16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F16: ESG materiality</w:t>
            </w:r>
          </w:p>
        </w:tc>
        <w:tc>
          <w:tcPr>
            <w:tcBorders>
              <w:top w:color="000000" w:space="0" w:sz="0" w:val="nil"/>
              <w:left w:color="000000" w:space="0" w:sz="0" w:val="nil"/>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F6">
            <w:pPr>
              <w:spacing w:after="16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Focus on materiality assessment, prioritization of ESG issues, and double materiality under EU standards</w:t>
            </w:r>
          </w:p>
        </w:tc>
      </w:tr>
      <w:tr>
        <w:trPr>
          <w:cantSplit w:val="0"/>
          <w:trHeight w:val="720" w:hRule="atLeast"/>
          <w:tblHeader w:val="0"/>
        </w:trPr>
        <w:tc>
          <w:tcPr>
            <w:tcBorders>
              <w:top w:color="000000" w:space="0" w:sz="0" w:val="nil"/>
              <w:left w:color="bfbfbf" w:space="0" w:sz="4" w:val="single"/>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F7">
            <w:pPr>
              <w:spacing w:after="16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F17: Reputation insurance</w:t>
            </w:r>
          </w:p>
        </w:tc>
        <w:tc>
          <w:tcPr>
            <w:tcBorders>
              <w:top w:color="000000" w:space="0" w:sz="0" w:val="nil"/>
              <w:left w:color="000000" w:space="0" w:sz="0" w:val="nil"/>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F8">
            <w:pPr>
              <w:spacing w:after="16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ESG as a mechanism for protecting corporate reputation and legitimacy, especially during crises</w:t>
            </w:r>
          </w:p>
        </w:tc>
      </w:tr>
      <w:tr>
        <w:trPr>
          <w:cantSplit w:val="0"/>
          <w:trHeight w:val="720" w:hRule="atLeast"/>
          <w:tblHeader w:val="0"/>
        </w:trPr>
        <w:tc>
          <w:tcPr>
            <w:tcBorders>
              <w:top w:color="000000" w:space="0" w:sz="0" w:val="nil"/>
              <w:left w:color="bfbfbf" w:space="0" w:sz="4" w:val="single"/>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F9">
            <w:pPr>
              <w:spacing w:after="16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F18: Disclosure costs</w:t>
            </w:r>
          </w:p>
        </w:tc>
        <w:tc>
          <w:tcPr>
            <w:tcBorders>
              <w:top w:color="000000" w:space="0" w:sz="0" w:val="nil"/>
              <w:left w:color="000000" w:space="0" w:sz="0" w:val="nil"/>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FA">
            <w:pPr>
              <w:spacing w:after="16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Costs of gathering, reporting, and auditing ESG information that may deter adoption</w:t>
            </w:r>
          </w:p>
        </w:tc>
      </w:tr>
      <w:tr>
        <w:trPr>
          <w:cantSplit w:val="0"/>
          <w:trHeight w:val="720" w:hRule="atLeast"/>
          <w:tblHeader w:val="0"/>
        </w:trPr>
        <w:tc>
          <w:tcPr>
            <w:tcBorders>
              <w:top w:color="000000" w:space="0" w:sz="0" w:val="nil"/>
              <w:left w:color="bfbfbf" w:space="0" w:sz="4" w:val="single"/>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FB">
            <w:pPr>
              <w:spacing w:after="16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F19: Audit and assurance</w:t>
            </w:r>
          </w:p>
        </w:tc>
        <w:tc>
          <w:tcPr>
            <w:tcBorders>
              <w:top w:color="000000" w:space="0" w:sz="0" w:val="nil"/>
              <w:left w:color="000000" w:space="0" w:sz="0" w:val="nil"/>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FC">
            <w:pPr>
              <w:spacing w:after="16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External assurance of ESG or sustainability reports; role of auditors in ESG credibility</w:t>
            </w:r>
          </w:p>
        </w:tc>
      </w:tr>
      <w:tr>
        <w:trPr>
          <w:cantSplit w:val="0"/>
          <w:trHeight w:val="1005" w:hRule="atLeast"/>
          <w:tblHeader w:val="0"/>
        </w:trPr>
        <w:tc>
          <w:tcPr>
            <w:tcBorders>
              <w:top w:color="000000" w:space="0" w:sz="0" w:val="nil"/>
              <w:left w:color="bfbfbf" w:space="0" w:sz="4" w:val="single"/>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FD">
            <w:pPr>
              <w:spacing w:after="16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F20: Reduced information asymmetry</w:t>
            </w:r>
          </w:p>
        </w:tc>
        <w:tc>
          <w:tcPr>
            <w:tcBorders>
              <w:top w:color="000000" w:space="0" w:sz="0" w:val="nil"/>
              <w:left w:color="000000" w:space="0" w:sz="0" w:val="nil"/>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FE">
            <w:pPr>
              <w:spacing w:after="16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ESG disclosure reducing gaps between managers and investors, improving transparency and trust</w:t>
            </w:r>
          </w:p>
        </w:tc>
      </w:tr>
      <w:tr>
        <w:trPr>
          <w:cantSplit w:val="0"/>
          <w:trHeight w:val="720" w:hRule="atLeast"/>
          <w:tblHeader w:val="0"/>
        </w:trPr>
        <w:tc>
          <w:tcPr>
            <w:tcBorders>
              <w:top w:color="000000" w:space="0" w:sz="0" w:val="nil"/>
              <w:left w:color="bfbfbf" w:space="0" w:sz="4" w:val="single"/>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0FF">
            <w:pPr>
              <w:spacing w:after="16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Formal Institutions</w:t>
            </w:r>
          </w:p>
        </w:tc>
        <w:tc>
          <w:tcPr>
            <w:tcBorders>
              <w:top w:color="000000" w:space="0" w:sz="0" w:val="nil"/>
              <w:left w:color="000000" w:space="0" w:sz="0" w:val="nil"/>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100">
            <w:pPr>
              <w:spacing w:after="16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Macro-level institutional drivers: corruption levels, democracy, political stability, economic development</w:t>
            </w:r>
          </w:p>
        </w:tc>
      </w:tr>
      <w:tr>
        <w:trPr>
          <w:cantSplit w:val="0"/>
          <w:trHeight w:val="720" w:hRule="atLeast"/>
          <w:tblHeader w:val="0"/>
        </w:trPr>
        <w:tc>
          <w:tcPr>
            <w:tcBorders>
              <w:top w:color="000000" w:space="0" w:sz="0" w:val="nil"/>
              <w:left w:color="bfbfbf" w:space="0" w:sz="4" w:val="single"/>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101">
            <w:pPr>
              <w:spacing w:after="16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Informal Institutions</w:t>
            </w:r>
          </w:p>
        </w:tc>
        <w:tc>
          <w:tcPr>
            <w:tcBorders>
              <w:top w:color="000000" w:space="0" w:sz="0" w:val="nil"/>
              <w:left w:color="000000" w:space="0" w:sz="0" w:val="nil"/>
              <w:bottom w:color="bfbfbf" w:space="0" w:sz="4" w:val="single"/>
              <w:right w:color="bfbfbf" w:space="0" w:sz="4" w:val="single"/>
            </w:tcBorders>
            <w:tcMar>
              <w:top w:w="0.0" w:type="dxa"/>
              <w:left w:w="100.0" w:type="dxa"/>
              <w:bottom w:w="0.0" w:type="dxa"/>
              <w:right w:w="100.0" w:type="dxa"/>
            </w:tcMar>
            <w:vAlign w:val="top"/>
          </w:tcPr>
          <w:p w:rsidR="00000000" w:rsidDel="00000000" w:rsidP="00000000" w:rsidRDefault="00000000" w:rsidRPr="00000000" w14:paraId="00000102">
            <w:pPr>
              <w:spacing w:after="16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Norms, culture, legitimacy pressures, media influence, globalization, mimetic pressures</w:t>
            </w:r>
          </w:p>
        </w:tc>
      </w:tr>
    </w:tbl>
    <w:p w:rsidR="00000000" w:rsidDel="00000000" w:rsidP="00000000" w:rsidRDefault="00000000" w:rsidRPr="00000000" w14:paraId="000001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