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a3484c4bb23b48b529d8e27ee3d7dd9bddef8d"/>
    <w:p>
      <w:pPr>
        <w:pStyle w:val="Heading1"/>
      </w:pPr>
      <w:r>
        <w:t xml:space="preserve">Synapse Grid — Project-Specific Mathematical Model</w:t>
      </w:r>
    </w:p>
    <w:p>
      <w:pPr>
        <w:pStyle w:val="FirstParagraph"/>
      </w:pPr>
      <w:r>
        <w:rPr>
          <w:iCs/>
          <w:i/>
        </w:rPr>
        <w:t xml:space="preserve">Equations, parameters, worked examples and simulation validation for the four-transformer digital twin and its autonomous self-healing.</w:t>
      </w:r>
    </w:p>
    <w:p>
      <w:pPr>
        <w:pStyle w:val="BodyText"/>
      </w:pPr>
      <w:r>
        <w:rPr>
          <w:bCs/>
          <w:b/>
        </w:rPr>
        <w:t xml:space="preserve">Status of the model.</w:t>
      </w:r>
      <w:r>
        <w:t xml:space="preserve"> </w:t>
      </w:r>
      <w:r>
        <w:t xml:space="preserve">The equations below were developed for this project. Their coefficients are engineering choices, documented in</w:t>
      </w:r>
      <w:r>
        <w:t xml:space="preserve"> </w:t>
      </w:r>
      <w:r>
        <w:rPr>
          <w:rStyle w:val="VerbatimChar"/>
        </w:rPr>
        <w:t xml:space="preserve">src/model/synapseModelParams.ts</w:t>
      </w:r>
      <w:r>
        <w:t xml:space="preserve">. They have been verified</w:t>
      </w:r>
      <w:r>
        <w:t xml:space="preserve"> </w:t>
      </w:r>
      <w:r>
        <w:rPr>
          <w:bCs/>
          <w:b/>
        </w:rPr>
        <w:t xml:space="preserve">in simulation only</w:t>
      </w:r>
      <w:r>
        <w:t xml:space="preserve">: bounds, numerical stability and plausible decisions inside the Synapse Grid twin. They are not fitted to, or validated against, measured transformer data. All switching actions are</w:t>
      </w:r>
      <w:r>
        <w:t xml:space="preserve"> </w:t>
      </w:r>
      <w:r>
        <w:rPr>
          <w:bCs/>
          <w:b/>
        </w:rPr>
        <w:t xml:space="preserve">simulated decisions</w:t>
      </w:r>
      <w:r>
        <w:t xml:space="preserve">; no physical breaker is operated.</w:t>
      </w:r>
    </w:p>
    <w:p>
      <w:pPr>
        <w:pStyle w:val="BodyText"/>
      </w:pPr>
      <w:r>
        <w:t xml:space="preserve">The model sits on top of the existing project and does not replace anything. The physics twin, the fuzzy/ANN/RF/LSTM/hybrid models and the MVA-consistent transfer (paper Eq. 14–15) are unchanged. The new equations decide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to act,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helps and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recovery is confirmed.</w:t>
      </w:r>
    </w:p>
    <w:bookmarkStart w:id="20" w:name="transformer-specific-references"/>
    <w:p>
      <w:pPr>
        <w:pStyle w:val="Heading2"/>
      </w:pPr>
      <w:r>
        <w:t xml:space="preserve">1. Transformer-specific references</w:t>
      </w:r>
    </w:p>
    <w:p>
      <w:pPr>
        <w:pStyle w:val="FirstParagraph"/>
      </w:pPr>
      <w:r>
        <w:t xml:space="preserve">Each transformer gets its own operating references. The safe load follows the cooling class (ONAN 80 %, ONAF 85 %, OFAF 90 %), because forced cooling removes heat faster. The safe temperature is</w:t>
      </w:r>
      <w:r>
        <w:t xml:space="preserve"> </w:t>
      </w:r>
      <w:r>
        <w:rPr>
          <w:bCs/>
          <w:b/>
        </w:rPr>
        <w:t xml:space="preserve">derived</w:t>
      </w:r>
      <w:r>
        <w:t xml:space="preserve">: it is the twin’s own steady-state temperature at the safe load,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45</m:t>
        </m:r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  <m:r>
                      <m:t>a</m:t>
                    </m:r>
                    <m:r>
                      <m:t>f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100</m:t>
                </m:r>
              </m:e>
            </m:d>
          </m:e>
          <m:sup>
            <m:r>
              <m:t>1.8</m:t>
            </m:r>
          </m:sup>
        </m:sSup>
      </m:oMath>
      <w:r>
        <w:t xml:space="preserve">. Supporters are planned up to</w:t>
      </w:r>
      <w:r>
        <w:t xml:space="preserve"> </w:t>
      </w:r>
      <m:oMath>
        <m:sSub>
          <m:e>
            <m:r>
              <m:t>L</m:t>
            </m:r>
          </m:e>
          <m:sub>
            <m:r>
              <m:t>l</m:t>
            </m:r>
            <m:r>
              <m:t>i</m:t>
            </m:r>
            <m:r>
              <m:t>m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s</m:t>
                </m:r>
                <m:r>
                  <m:t>a</m:t>
                </m:r>
                <m:r>
                  <m:t>f</m:t>
                </m:r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r>
              <m:t>85</m:t>
            </m:r>
          </m:e>
        </m:d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, and a relieved unit is brought back to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  <m:r>
              <m:t>g</m:t>
            </m:r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% is the twin’s normal load swing.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(MVA)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(°C)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t>g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</w:tbl>
    <w:bookmarkEnd w:id="20"/>
    <w:bookmarkStart w:id="21" w:name="equation-a-disturbance-score"/>
    <w:p>
      <w:pPr>
        <w:pStyle w:val="Heading2"/>
      </w:pPr>
      <w:r>
        <w:t xml:space="preserve">2. Equation A — Disturbance score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Sup>
            <m:e>
              <m:r>
                <m:t>u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β</m:t>
          </m:r>
          <m:r>
            <m:t> </m:t>
          </m:r>
          <m:sSubSup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u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 </m:t>
          </m:r>
          <m:sSub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t> </m:t>
          </m:r>
          <m:sSub>
            <m:e>
              <m:r>
                <m:t>u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s</m:t>
                          </m:r>
                          <m:r>
                            <m:t>a</m:t>
                          </m:r>
                          <m:r>
                            <m:t>f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num>
            <m:den>
              <m:sSub>
                <m:e>
                  <m:r>
                    <m:t>L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s</m:t>
                          </m:r>
                          <m:r>
                            <m:t>a</m:t>
                          </m:r>
                          <m:r>
                            <m:t>f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V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V</m:t>
                                      </m:r>
                                    </m:e>
                                    <m:sub>
                                      <m: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t>V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100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num>
            <m:den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Why each term is included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is the load excess above this transformer’s safe loading, scaled so that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 the twin’s 115 % overload threshold. It is squared, so small excursions count little and large ones count a lot.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temperature excess above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, scaled to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 105 °C. It carries the slow, cumulative part of the risk.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voltage deviation beyond a 3 % dead-band. The dead-band matters because the twin’s normal 2.5 % load-dependent drop must not raise an alarm.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current-consistency</w:t>
      </w:r>
      <w:r>
        <w:t xml:space="preserve"> </w:t>
      </w:r>
      <w:r>
        <w:t xml:space="preserve">term: current that the loading does not explain, such as current during a sag or a fault. It is not a second load term, because at normal operation the ratio is about 1.</w:t>
      </w:r>
    </w:p>
    <w:p>
      <w:pPr>
        <w:numPr>
          <w:ilvl w:val="0"/>
          <w:numId w:val="1001"/>
        </w:numPr>
        <w:pStyle w:val="Compact"/>
      </w:pPr>
      <w:r>
        <w:t xml:space="preserve">The cross term</w:t>
      </w:r>
      <w:r>
        <w:t xml:space="preserve"> </w:t>
      </w:r>
      <m:oMath>
        <m:r>
          <m:t>κ</m:t>
        </m:r>
        <m:sSub>
          <m:e>
            <m:r>
              <m:t>u</m:t>
            </m:r>
          </m:e>
          <m:sub>
            <m:r>
              <m:t>L</m:t>
            </m:r>
          </m:sub>
        </m:sSub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adds extra risk only when a unit is both overloaded and hot.</w:t>
      </w:r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E</m:t>
            </m:r>
          </m:sup>
        </m:sSup>
      </m:oMath>
      <w:r>
        <w:t xml:space="preserve"> </w:t>
      </w:r>
      <w:r>
        <w:t xml:space="preserve">maps any non-negative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It is monotone and saturates for extreme inputs, which keeps it numerically stable.</w:t>
      </w:r>
    </w:p>
    <w:p>
      <w:pPr>
        <w:pStyle w:val="FirstParagraph"/>
      </w:pPr>
      <w:r>
        <w:rPr>
          <w:bCs/>
          <w:b/>
        </w:rPr>
        <w:t xml:space="preserve">Influence of the coefficients.</w:t>
      </w:r>
      <w:r>
        <w:t xml:space="preserve"> </w:t>
      </w:r>
      <w:r>
        <w:t xml:space="preserve">A larger α detects overload at lower loading. A larger β delays recovery confirmation until the unit has cooled. γ and δ set sensitivity to sags and fault currents. κ sets how much earlier a pre-heated unit escalates.</w:t>
      </w:r>
    </w:p>
    <w:p>
      <w:pPr>
        <w:pStyle w:val="BodyText"/>
      </w:pPr>
      <w:r>
        <w:rPr>
          <w:bCs/>
          <w:b/>
        </w:rPr>
        <w:t xml:space="preserve">Worked example 1 (overload, simulated input).</w:t>
      </w:r>
      <w:r>
        <w:t xml:space="preserve"> </w:t>
      </w:r>
      <w:r>
        <w:t xml:space="preserve">Take T1 at L = 118.5 %, T = 84.5 °C, V = 10.67 kV, I = 642 A. Its references are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73.11</m:t>
        </m:r>
      </m:oMath>
      <w:r>
        <w:t xml:space="preserve"> </w:t>
      </w:r>
      <w:r>
        <w:t xml:space="preserve">°C and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524.9</m:t>
        </m:r>
      </m:oMath>
      <w:r>
        <w:t xml:space="preserve"> </w:t>
      </w:r>
      <w:r>
        <w:t xml:space="preserve">A.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118.5</m:t>
            </m:r>
            <m:r>
              <m:rPr>
                <m:sty m:val="p"/>
              </m:rPr>
              <m:t>−</m:t>
            </m:r>
            <m:r>
              <m:t>80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115</m:t>
            </m:r>
            <m:r>
              <m:rPr>
                <m:sty m:val="p"/>
              </m:rPr>
              <m:t>−</m:t>
            </m:r>
            <m:r>
              <m:t>80</m:t>
            </m:r>
          </m:e>
        </m:d>
        <m:r>
          <m:rPr>
            <m:sty m:val="p"/>
          </m:rPr>
          <m:t>=</m:t>
        </m:r>
        <m:r>
          <m:t>1.100</m:t>
        </m:r>
      </m:oMath>
      <w:r>
        <w:t xml:space="preserve">, so</w:t>
      </w:r>
      <w:r>
        <w:t xml:space="preserve"> </w:t>
      </w:r>
      <m:oMath>
        <m:r>
          <m:t>α</m:t>
        </m:r>
        <m:sSubSup>
          <m:e>
            <m:r>
              <m:t>u</m:t>
            </m:r>
          </m:e>
          <m:sub>
            <m:r>
              <m:t>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1.100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2.420</m:t>
        </m:r>
      </m:oMath>
    </w:p>
    <w:p>
      <w:pPr>
        <w:numPr>
          <w:ilvl w:val="0"/>
          <w:numId w:val="1002"/>
        </w:numPr>
        <w:pStyle w:val="Compact"/>
      </w:pP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84.5</m:t>
            </m:r>
            <m:r>
              <m:rPr>
                <m:sty m:val="p"/>
              </m:rPr>
              <m:t>−</m:t>
            </m:r>
            <m:r>
              <m:t>73.11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105</m:t>
            </m:r>
            <m:r>
              <m:rPr>
                <m:sty m:val="p"/>
              </m:rPr>
              <m:t>−</m:t>
            </m:r>
            <m:r>
              <m:t>73.11</m:t>
            </m:r>
          </m:e>
        </m:d>
        <m:r>
          <m:rPr>
            <m:sty m:val="p"/>
          </m:rPr>
          <m:t>=</m:t>
        </m:r>
        <m:r>
          <m:t>0.357</m:t>
        </m:r>
      </m:oMath>
      <w:r>
        <w:t xml:space="preserve">, so</w:t>
      </w:r>
      <w:r>
        <w:t xml:space="preserve"> </w:t>
      </w:r>
      <m:oMath>
        <m:r>
          <m:t>β</m:t>
        </m:r>
        <m:sSubSup>
          <m:e>
            <m:r>
              <m:t>u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0.319</m:t>
        </m:r>
      </m:oMath>
    </w:p>
    <w:p>
      <w:pPr>
        <w:numPr>
          <w:ilvl w:val="0"/>
          <w:numId w:val="1002"/>
        </w:numPr>
        <w:pStyle w:val="Compact"/>
      </w:pPr>
      <m:oMath>
        <m:d>
          <m:dPr>
            <m:begChr m:val="|"/>
            <m:endChr m:val="|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3.0</m:t>
        </m:r>
        <m:r>
          <m:t> </m:t>
        </m:r>
        <m:r>
          <m:rPr>
            <m:sty m:val="p"/>
          </m:rPr>
          <m:t>%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current ratio 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642</m:t>
            </m:r>
            <m:r>
              <m:rPr>
                <m:sty m:val="p"/>
              </m:rPr>
              <m:t>/</m:t>
            </m:r>
            <m:r>
              <m:t>524.9</m:t>
            </m:r>
          </m:e>
        </m:d>
        <m:r>
          <m:rPr>
            <m:sty m:val="p"/>
          </m:rPr>
          <m:t>/</m:t>
        </m:r>
        <m:r>
          <m:t>1.185</m:t>
        </m:r>
        <m:r>
          <m:rPr>
            <m:sty m:val="p"/>
          </m:rPr>
          <m:t>=</m:t>
        </m:r>
        <m:r>
          <m:t>1.03</m:t>
        </m:r>
        <m:r>
          <m:rPr>
            <m:sty m:val="p"/>
          </m:rPr>
          <m:t>&lt;</m:t>
        </m:r>
        <m:r>
          <m:t>1.05</m:t>
        </m:r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2"/>
        </w:numPr>
        <w:pStyle w:val="Compact"/>
      </w:pPr>
      <m:oMath>
        <m:r>
          <m:t>κ</m:t>
        </m:r>
        <m:sSub>
          <m:e>
            <m:r>
              <m:t>u</m:t>
            </m:r>
          </m:e>
          <m:sub>
            <m:r>
              <m:t>L</m:t>
            </m:r>
          </m:sub>
        </m:sSub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r>
          <m:t>1.100</m:t>
        </m:r>
        <m:r>
          <m:rPr>
            <m:sty m:val="p"/>
          </m:rPr>
          <m:t>×</m:t>
        </m:r>
        <m:r>
          <m:t>0.357</m:t>
        </m:r>
        <m:r>
          <m:rPr>
            <m:sty m:val="p"/>
          </m:rPr>
          <m:t>=</m:t>
        </m:r>
        <m:r>
          <m:t>0.589</m:t>
        </m:r>
      </m:oMath>
    </w:p>
    <w:p>
      <w:pPr>
        <w:numPr>
          <w:ilvl w:val="0"/>
          <w:numId w:val="1002"/>
        </w:numPr>
        <w:pStyle w:val="Compact"/>
      </w:pPr>
      <m:oMath>
        <m:r>
          <m:t>E</m:t>
        </m:r>
        <m:r>
          <m:rPr>
            <m:sty m:val="p"/>
          </m:rPr>
          <m:t>=</m:t>
        </m:r>
        <m:r>
          <m:t>3.328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3.328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0.964</m:t>
        </m:r>
      </m:oMath>
      <w:r>
        <w:t xml:space="preserve">, which is above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0.45</m:t>
        </m:r>
      </m:oMath>
      <w:r>
        <w:t xml:space="preserve"> </w:t>
      </w:r>
      <w:r>
        <w:t xml:space="preserve">and triggers coordination.</w:t>
      </w:r>
    </w:p>
    <w:p>
      <w:pPr>
        <w:pStyle w:val="FirstParagraph"/>
      </w:pPr>
      <w:r>
        <w:rPr>
          <w:bCs/>
          <w:b/>
        </w:rPr>
        <w:t xml:space="preserve">Worked example 2 (normal).</w:t>
      </w:r>
      <w:r>
        <w:t xml:space="preserve"> </w:t>
      </w:r>
      <w:r>
        <w:t xml:space="preserve">T1 at 70 %, 66.1 °C, 10.81 kV, 374 A gives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0.000</m:t>
        </m:r>
      </m:oMath>
      <w:r>
        <w:t xml:space="preserve"> </w:t>
      </w:r>
      <w:r>
        <w:t xml:space="preserve">(normal operation).</w:t>
      </w:r>
    </w:p>
    <w:bookmarkEnd w:id="21"/>
    <w:bookmarkStart w:id="22" w:name="equation-b-health-score"/>
    <w:p>
      <w:pPr>
        <w:pStyle w:val="Heading2"/>
      </w:pPr>
      <w:r>
        <w:t xml:space="preserve">3. Equation B — Health score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t> </m:t>
          </m:r>
          <m:r>
            <m:t>Δ</m:t>
          </m:r>
          <m:r>
            <m:t>t</m:t>
          </m:r>
          <m:r>
            <m:t> </m:t>
          </m:r>
          <m:r>
            <m:rPr>
              <m:sty m:val="p"/>
              <m:scr m:val="double-struck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D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 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sup>
          </m:sSup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t> </m:t>
          </m:r>
          <m:r>
            <m:t>Δ</m:t>
          </m:r>
          <m:r>
            <m:t>t</m:t>
          </m:r>
        </m:oMath>
      </m:oMathPara>
    </w:p>
    <w:p>
      <w:pPr>
        <w:numPr>
          <w:ilvl w:val="0"/>
          <w:numId w:val="1003"/>
        </w:numPr>
        <w:pStyle w:val="Compact"/>
      </w:pP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accumulated abnormal operating time</w:t>
      </w:r>
      <w:r>
        <w:t xml:space="preserve">, weighted by severity. It only grows, and it drives the permanent part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short-term stress memory</w:t>
      </w:r>
      <w:r>
        <w:t xml:space="preserve"> </w:t>
      </w:r>
      <w:r>
        <w:t xml:space="preserve">with a 300 s half-life. It lowers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by at most ω = 40 % and is regained as the unit cools down.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recovery history</w:t>
      </w:r>
      <w:r>
        <w:t xml:space="preserve">: the number of events that needed coordinated relief. Each one leaves a permanent ψ = 2 % mark.</w:t>
      </w:r>
    </w:p>
    <w:p>
      <w:pPr>
        <w:pStyle w:val="FirstParagraph"/>
      </w:pPr>
      <w:r>
        <w:rPr>
          <w:bCs/>
          <w:b/>
        </w:rPr>
        <w:t xml:space="preserve">Behaviour.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Normal operation</w:t>
      </w:r>
      <w:r>
        <w:t xml:space="preserve"> </w:t>
      </w:r>
      <w:r>
        <w:t xml:space="preserve">(D &lt; 0.15): W and N do not change, and S decays, so H rises towards its permanent cap.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Overload</w:t>
      </w:r>
      <w:r>
        <w:t xml:space="preserve">: W and S grow, so H falls.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Recovery</w:t>
      </w:r>
      <w:r>
        <w:t xml:space="preserve">: S decays, so H partly recovers. The permanent W and N part stays.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at 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Worked example 3.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s,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100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120</m:t>
            </m:r>
            <m:r>
              <m:rPr>
                <m:sty m:val="p"/>
              </m:rPr>
              <m:t>/</m:t>
            </m:r>
            <m:r>
              <m:t>1800</m:t>
            </m:r>
            <m:r>
              <m:rPr>
                <m:sty m:val="p"/>
              </m:rPr>
              <m:t>−</m:t>
            </m:r>
            <m:r>
              <m:t>0.02</m:t>
            </m:r>
          </m:sup>
        </m:sSup>
        <m:r>
          <m:t> 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0.4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120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83.58</m:t>
        </m:r>
      </m:oMath>
      <w:r>
        <w:t xml:space="preserve">.</w:t>
      </w:r>
    </w:p>
    <w:bookmarkEnd w:id="22"/>
    <w:bookmarkStart w:id="23" w:name="X3ec4536d6ea7ded6dc8762633b26851ce34a074"/>
    <w:p>
      <w:pPr>
        <w:pStyle w:val="Heading2"/>
      </w:pPr>
      <w:r>
        <w:t xml:space="preserve">4. Equation C — Multi-agent coordination score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  <m:scr m:val="double-struck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H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e>
          </m:d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t>a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Δ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l</m:t>
                          </m:r>
                          <m:r>
                            <m:t>i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num>
            <m:den>
              <m:r>
                <m:t>100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(</m:t>
              </m:r>
              <m:r>
                <m:t>L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η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L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Each factor maps to one of the required considerations: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Severity of the affected unit</w:t>
      </w:r>
      <w:r>
        <w:t xml:space="preserve"> </w:t>
      </w:r>
      <w:r>
        <w:t xml:space="preserve">sets the required relief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L</m:t>
                    </m:r>
                  </m:e>
                  <m:sub>
                    <m:r>
                      <m:t>t</m:t>
                    </m:r>
                    <m:r>
                      <m:t>g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100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Available capacity</w:t>
      </w:r>
      <w:r>
        <w:t xml:space="preserve"> </w:t>
      </w:r>
      <w:r>
        <w:t xml:space="preserve">enters through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availability</w:t>
      </w:r>
      <w:r>
        <w:t xml:space="preserve"> </w:t>
      </w:r>
      <w:r>
        <w:t xml:space="preserve">is the factor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A failed link makes the supporter unreachable.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Supporter health</w:t>
      </w:r>
      <w:r>
        <w:t xml:space="preserve"> </w:t>
      </w:r>
      <w:r>
        <w:t xml:space="preserve">enters through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gate.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Overload risk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ρ</m:t>
            </m:r>
          </m:e>
          <m:sub>
            <m:r>
              <m:t>j</m:t>
            </m:r>
          </m:sub>
        </m:sSub>
      </m:oMath>
      <w:r>
        <w:t xml:space="preserve">, which rises steeply (</w:t>
      </w:r>
      <m:oMath>
        <m:r>
          <m:t>η</m:t>
        </m:r>
        <m:r>
          <m:rPr>
            <m:sty m:val="p"/>
          </m:rPr>
          <m:t>=</m:t>
        </m:r>
        <m:r>
          <m:t>4</m:t>
        </m:r>
      </m:oMath>
      <w:r>
        <w:t xml:space="preserve">) as the planned post-transfer loading approaches the supporter’s safe limit, or when the supporter is already hot.</w:t>
      </w:r>
      <w:r>
        <w:t xml:space="preserve"> </w:t>
      </w:r>
      <w:r>
        <w:t xml:space="preserve">- A supporter that is itself disturbed is penalised by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</m:sub>
        </m:sSub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Eligible supporters (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a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0.05</m:t>
        </m:r>
      </m:oMath>
      <w:r>
        <w:t xml:space="preserve"> </w:t>
      </w:r>
      <w:r>
        <w:t xml:space="preserve">MVA) are ranked by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The relief is then allocated in that order with the existing MVA-consistent transfer (paper Eq. 14–15), so apparent power is conserved between units of different rating.</w:t>
      </w:r>
    </w:p>
    <w:p>
      <w:pPr>
        <w:pStyle w:val="BodyText"/>
      </w:pPr>
      <w:r>
        <w:rPr>
          <w:bCs/>
          <w:b/>
        </w:rPr>
        <w:t xml:space="preserve">Worked example 4 (T1 at 118.5 %, all links up).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118.5</m:t>
            </m:r>
            <m:r>
              <m:rPr>
                <m:sty m:val="p"/>
              </m:rPr>
              <m:t>−</m:t>
            </m:r>
            <m:r>
              <m:t>75</m:t>
            </m:r>
          </m:e>
        </m:d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4.35</m:t>
        </m:r>
      </m:oMath>
      <w:r>
        <w:t xml:space="preserve"> </w:t>
      </w:r>
      <w:r>
        <w:t xml:space="preserve">MVA.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Supporter j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a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(MVA)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0.15 &lt; C_min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</w:tr>
    </w:tbl>
    <w:p>
      <w:pPr>
        <w:pStyle w:val="BodyText"/>
      </w:pPr>
      <w:r>
        <w:t xml:space="preserve">T4 has the most headroom at the lowest risk, so it is chosen first. T2 is second. T3 is excluded because its 7.5 MVA rating leaves little headroom below its limit.</w:t>
      </w:r>
    </w:p>
    <w:bookmarkEnd w:id="23"/>
    <w:bookmarkStart w:id="24" w:name="equation-d-self-healing-decision-logic"/>
    <w:p>
      <w:pPr>
        <w:pStyle w:val="Heading2"/>
      </w:pPr>
      <w:r>
        <w:t xml:space="preserve">5. Equation D — Self-healing decision logic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 (evaluated in this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D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Continue normal operation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Warning mode (monitor, no transfer)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Flag for isolation (simulated)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communication link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isolation (simulated)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capacity ≥ ζ·ΔS (</w:t>
            </w:r>
            <m:oMath>
              <m:r>
                <m:t>ζ</m:t>
              </m:r>
            </m:oMath>
            <w:r>
              <w:t xml:space="preserve"> </w:t>
            </w:r>
            <w:r>
              <w:t xml:space="preserve">= 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Redistribute load (simulated transfer)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isolation: simulated shedding of load above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t>g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a transfer: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 </w:t>
            </w:r>
            <w:r>
              <w:t xml:space="preserve">for M = 10 s and every supporter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D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Recovery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a transfer: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isolation flag</w:t>
            </w:r>
          </w:p>
        </w:tc>
      </w:tr>
    </w:tbl>
    <w:p>
      <w:pPr>
        <w:pStyle w:val="BodyText"/>
      </w:pPr>
      <w:r>
        <w:t xml:space="preserve">Messages between stages take a simulated latency of τ_c = 2 s, so each stage (alert, offers, decision, transfer confirmation) shows up separately on the 3D model.</w:t>
      </w:r>
    </w:p>
    <w:p>
      <w:pPr>
        <w:pStyle w:val="BodyText"/>
      </w:pPr>
      <w:r>
        <w:rPr>
          <w:bCs/>
          <w:b/>
        </w:rPr>
        <w:t xml:space="preserve">Decision-table check</w:t>
      </w:r>
      <w:r>
        <w:t xml:space="preserve"> </w:t>
      </w:r>
      <w:r>
        <w:t xml:space="preserve">(direct evaluation of the rule):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ΔS (MVA)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cap. (MVA)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0.05 &lt; D_warn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D_warn ≤ D = 0.30 &lt; D_act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REDISTRIBUTE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capacity covers 100 % of 4.40 MVA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14 % &lt; ζ =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communication link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 = 0.95 with low health H = 25</w:t>
            </w:r>
          </w:p>
        </w:tc>
      </w:tr>
    </w:tbl>
    <w:bookmarkEnd w:id="24"/>
    <w:bookmarkStart w:id="25" w:name="simulation-validation"/>
    <w:p>
      <w:pPr>
        <w:pStyle w:val="Heading2"/>
      </w:pPr>
      <w:r>
        <w:t xml:space="preserve">6. Simulation validation</w:t>
      </w:r>
    </w:p>
    <w:p>
      <w:pPr>
        <w:pStyle w:val="FirstParagraph"/>
      </w:pPr>
      <w:r>
        <w:t xml:space="preserve">All scenarios use the same controller as the website: seed 42, 900 s pre-roll to thermal steady state, 1 s steps. Base loads are T1 70 %, T2 62 %, T3 68 % and T4 58 % in the Normal-Operation profile (±5 % swing).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delay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outcome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(MVA)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θ of affected unit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Normal operation (600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Overload T1 → 118 %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T4→T1 2.69, T2→T1 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S3a Communication failure: T1–T4 and T1–T2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S3b Communication failure: T1–T4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T2→T1 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Overload T3 → 135 %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T4→T3 2.69, T2→T3 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68.35</w:t>
            </w:r>
          </w:p>
        </w:tc>
      </w:tr>
    </w:tbl>
    <w:p>
      <w:pPr>
        <w:pStyle w:val="BodyText"/>
      </w:pPr>
      <w:r>
        <w:rPr>
          <w:bCs/>
          <w:b/>
        </w:rPr>
        <w:t xml:space="preserve">S2 before and after (T1 overload to 118 %).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before → after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before → after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before →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118.1 → 75.9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 → 67.5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→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 → 80.4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61.6 → 62.4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→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71.3 → 72.9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 → 66.2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→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 → 80.8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 → 59.3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→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Normal (S1)</w:t>
      </w:r>
      <w:r>
        <w:t xml:space="preserve">: across 600 s the largest disturbance score of any unit was 0. There were no false alarms and no transfers.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Overload (S2, S5)</w:t>
      </w:r>
      <w:r>
        <w:t xml:space="preserve">: detection follows the disturbance by 1 s. The relief is split across two supporters in score order, recovery is confirmed 18 s after detection, and every unit ends in NORMAL. Temperatures barely rise because the twin’s thermal time constants (180–300 s) are much longer than the coordination time (about 8 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Communication failure (S3a)</w:t>
      </w:r>
      <w:r>
        <w:t xml:space="preserve">: with T1–T2 and T1–T4 down, only T3 is reachable, and its headroom is too small (coverage 0 %). The rule flags T1 for isolation and sheds the excess load in simulation instead of overloading T3.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Partial communication failure (S3b)</w:t>
      </w:r>
      <w:r>
        <w:t xml:space="preserve">: with T1–T4 down, T2 alone covers 41 % of the need. The transfer goes ahead, T1 stays above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  <m:r>
              <m:t>c</m:t>
            </m:r>
            <m:r>
              <m:t>t</m:t>
            </m:r>
          </m:sub>
        </m:sSub>
      </m:oMath>
      <w:r>
        <w:t xml:space="preserve">, and after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s</m:t>
            </m:r>
            <m:r>
              <m:t>c</m:t>
            </m:r>
          </m:sub>
        </m:sSub>
      </m:oMath>
      <w:r>
        <w:t xml:space="preserve"> </w:t>
      </w:r>
      <w:r>
        <w:t xml:space="preserve">= 30 s it is escalated to the isolation flag. Total time is 41 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Recovery (S4)</w:t>
      </w:r>
      <w:r>
        <w:t xml:space="preserve">: after S2 the base load is restored. Over 600 s T1’s health rises from 95.98 to 97.24 as the stress memory decays. The permanent part (W, N) remains.</w:t>
      </w:r>
    </w:p>
    <w:p>
      <w:pPr>
        <w:pStyle w:val="BodyText"/>
      </w:pPr>
      <w:r>
        <w:rPr>
          <w:bCs/>
          <w:b/>
        </w:rPr>
        <w:t xml:space="preserve">Bounds, stability and monotonicity</w:t>
      </w:r>
      <w:r>
        <w:t xml:space="preserve"> </w:t>
      </w:r>
      <w:r>
        <w:t xml:space="preserve">(randomised tests):</w:t>
      </w:r>
    </w:p>
    <w:p>
      <w:pPr>
        <w:numPr>
          <w:ilvl w:val="0"/>
          <w:numId w:val="1004"/>
        </w:numPr>
        <w:pStyle w:val="Compact"/>
      </w:pPr>
      <w:r>
        <w:t xml:space="preserve">D over 20,000 random inputs (L 0–250 %, T 0–250 °C, V 0–15 kV, I 0–5000 A): min 0, max 1, non-finite 0. Increasing load or temperature never decreased D (load violations 0, temperature violations 0). Extreme inputs (zeros, 10⁶ values, negatives) give D = [1, 1, 0].</w:t>
      </w:r>
    </w:p>
    <w:p>
      <w:pPr>
        <w:numPr>
          <w:ilvl w:val="0"/>
          <w:numId w:val="1004"/>
        </w:numPr>
        <w:pStyle w:val="Compact"/>
      </w:pPr>
      <w:r>
        <w:t xml:space="preserve">H over 20,000 random (W, S, N): min 0, max 45.7445. H always stays within [0, 100] and decreases monotonically under constant D (table in Section 3).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over 20,000 random supporter states: min -0.9195, max 0.6855. upper bound w_c + w_h = 0.70 (full coverage, perfect health, no risk); no fixed lower bound because ρ grows with temperature, but any C &lt; C_min = 0.20 is ineligible.</w:t>
      </w:r>
    </w:p>
    <w:bookmarkEnd w:id="25"/>
    <w:bookmarkStart w:id="26" w:name="parameter-configuration"/>
    <w:p>
      <w:pPr>
        <w:pStyle w:val="Heading2"/>
      </w:pPr>
      <w:r>
        <w:t xml:space="preserve">7. Parameter configuration</w:t>
      </w:r>
    </w:p>
    <w:p>
      <w:pPr>
        <w:pStyle w:val="FirstParagraph"/>
      </w:pPr>
      <w:r>
        <w:t xml:space="preserve">Every parameter is defined in</w:t>
      </w:r>
      <w:r>
        <w:t xml:space="preserve"> </w:t>
      </w:r>
      <w:r>
        <w:rPr>
          <w:rStyle w:val="VerbatimChar"/>
        </w:rPr>
        <w:t xml:space="preserve">src/model/synapseModelParams.ts</w:t>
      </w:r>
      <w:r>
        <w:t xml:space="preserve"> </w:t>
      </w:r>
      <w:r>
        <w:t xml:space="preserve">with its purpose, value, reason, effect and tuning procedure. The table below is generated from that file.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tune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the squared load-excess term u_L²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is the primary driver of overload in the twin (state labels use L ≥ 115 %). A value of 2 makes D ≈ 0.48 when a unit reaches 100 % with an ONAN safe limit of 80 %, i.e. action starts before the 115 % overload label.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 α in Load-Ramp runs and choose the smallest value for which D crosses D_act before the twin labels OVERLOAD.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the squared temperature-excess term u_T²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carries the slow, cumulative part of the risk and controls when recovery can be confirmed; it is weighted slightly above load so a hot unit is not declared recovered just because its load dropped.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overload→transfer scenario and pick β so that recovery is confirmed when θ falls a few kelvin above T_safe.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the voltage-deviation term u_V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sags in the twin (−5 % to −15 %) are secondary disturbances; γ = 0.8 makes a 10 % sag alone give D ≈ 0.79, i.e. a warning/action on its 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Voltage-Sag scenario runs; γ should make the sag window D ≥ D_warn.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the current-consistency term u_I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u_I flags current that is not explained by the loading (sag or fault current). Unit weight keeps it comparable to the other 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Fault-Event runs: δ should push D above D_crit during the fault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the load × temperature synergy term u_L·u_T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overload on an already hot transformer is worse than either condition alone (ageing accelerates with both). The cross term adds risk only when both are present.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a cold and a pre-heated overload with equal load; κ sets how much earlier the hot case escalates.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Voltage-deviation dead-band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twin drops voltage by 2.5 % at rated load by design; deviations within 3 % are normal regulation, not a disturbance.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just above the largest deviation seen in Normal-Operation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Voltage-deviation scale beyond the dead-band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further 5 % deviation (8 % total) gives u_V = 1, a full-weight voltage disturbance.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to the statutory voltage band used by the utility (±5 % to ±10 %).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Dead-band of the current-consistency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noise and the small load-dependent voltage drop the ratio (I/I_r)/(L/100) stays within 5 % of 1 in normal operation.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above the 99th percentile of the ratio in Normal-Operation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Disturbance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of the current-consistency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current 30 % above what the load explains gives u_I =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Fault-Event data: choose so fault windows give u_I ≫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at which the twin labels OVERLOAD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from the twin labelling rule (Eq. 8 of the paper).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by the labelling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at which the twin labels OVERLOAD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from the twin labelling rule.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by the labelling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primary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units are 11/0.415 kV.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0.000555556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at which accumulated abnormal exposure W_i lowers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of full-severity abnormal operation (D = 1) reduces the permanent part of H to e⁻¹ ≈ 37 %.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so that the Sustained-Overload scenario (300 s at D ≈ 1) costs a few percent of health.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penalty per self-healing event N_i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event that needs coordinated relief leaves a 2 % mark (recovery history).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from how many events per year a utility tolerates before inspection.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recoverable derating from short-term stress S_i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40 % of health can be temporarily lost while the unit is stressed and is regained as it cools.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visually against the thermal recovery time of the twin.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of the recoverable part to stress S_i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s·D² of stress gives 63 % of the maximum recoverable derating.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for 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Half-life of the short-term stress memory S_i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order of the twin thermal time constants (τ_s = 180–300 steps).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close to the median τ_s of the four units.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 above this value counts as abnormal exposure W_i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threshold as warning mode, so normal fluctuations do not age the 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capacity coverage c_j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purpose of a supporter is to absorb the excess power.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stability check across T1–T4 overload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supporter health H_j/100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degraded unit should not be loaded further.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overload risk ρ_j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Penalises supporters that would end close to their own safe limit.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if supporters end in WARNING after transfers.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supporter disturbance D_j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supporter already disturbed should help last.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Steepness of the risk curve (L_j′/L_safe,j)^η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stays small at moderate post-transfer loading and rises sharply near L_safe.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health for a unit to be allowed to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60 the unit is treated as degraded.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coordination score for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supporters with negligible net benefit.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Coordination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H_cap,min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headroom worth 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splitting transfers into negligible parts.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warning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90 % loading on an ONAN unit.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→ earlier warnings.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coordinated 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100 % loading on an ONAN unit, before the 115 % overload label.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→ earlier action, more transfers.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this value a unit counts as 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the warning threshold with margin (hysteresis).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disturbance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with low health it triggers isolation.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below which a critical unit is flagged for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keep stressing a badly degraded unit.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fraction of the required relief that supporters must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25 % coverage a transfer is not worth it; flag instead.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seconds with D &lt; D_rec needed to confirm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declaring recovery on a single noisy sample.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T_rec,max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allowed for recovery before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four times the largest τ_s.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isolation if D stays ≥ D_act this long after 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relief that leaves the unit overloaded must not be tolerated for long; 30 s is short compared with the thermal time constants, so the unit is still cool when the flag is raised.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exceed τ_c plus the twin load-settling time (~5 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Decision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message latency per coordination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each stage (alert, offers, decision) visible and gives agents time to respond.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for the twin’s normal load swing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Normal-Operation profile varies load by ±5 % (sinusoid); targets and supporter limits keep this margin so units do not cross a threshold on the next swing.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the amplitude of normal load variation observed in the dataset.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at which the twin labels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Supporters are never planned above the twin’s own warning threshold, even if their cooling class would allow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by the labelling rule.</w:t>
            </w:r>
          </w:p>
        </w:tc>
      </w:tr>
    </w:tbl>
    <w:bookmarkEnd w:id="26"/>
    <w:bookmarkStart w:id="27" w:name="where-the-model-appears-in-the-website"/>
    <w:p>
      <w:pPr>
        <w:pStyle w:val="Heading2"/>
      </w:pPr>
      <w:r>
        <w:t xml:space="preserve">8. Where the model appears in the website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3D Grid Twin</w:t>
      </w:r>
      <w:r>
        <w:t xml:space="preserve"> </w:t>
      </w:r>
      <w:r>
        <w:t xml:space="preserve">and select T1–T4. The</w:t>
      </w:r>
      <w:r>
        <w:t xml:space="preserve"> </w:t>
      </w:r>
      <w:r>
        <w:rPr>
          <w:bCs/>
          <w:b/>
        </w:rPr>
        <w:t xml:space="preserve">Mathematical Model</w:t>
      </w:r>
      <w:r>
        <w:t xml:space="preserve"> </w:t>
      </w:r>
      <w:r>
        <w:t xml:space="preserve">tab shows, live for the selected unit:</w:t>
      </w:r>
      <w:r>
        <w:t xml:space="preserve"> </w:t>
      </w:r>
      <w:r>
        <w:t xml:space="preserve">- the measured inputs and references</w:t>
      </w:r>
      <w:r>
        <w:t xml:space="preserve"> </w:t>
      </w:r>
      <w:r>
        <w:t xml:space="preserve">- every term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the resulting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- during an event, the coordination table 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  <m:r>
          <m:t>a</m:t>
        </m:r>
        <m:r>
          <m:t>p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eligibility)</w:t>
      </w:r>
      <w:r>
        <w:t xml:space="preserve"> </w:t>
      </w:r>
      <w:r>
        <w:t xml:space="preserve">- the decision with its reason</w:t>
      </w:r>
      <w:r>
        <w:t xml:space="preserve"> </w:t>
      </w:r>
      <w:r>
        <w:t xml:space="preserve">- the recovery result with a before/after table</w:t>
      </w:r>
    </w:p>
    <w:p>
      <w:pPr>
        <w:pStyle w:val="BodyText"/>
      </w:pPr>
      <w:r>
        <w:t xml:space="preserve">The 3D scene shows the same events: red alert pulses, blue offers and grey declines, amber power-transfer streams with MVA labels, green confirmations, and a red</w:t>
      </w:r>
      <w:r>
        <w:t xml:space="preserve"> </w:t>
      </w:r>
      <w:r>
        <w:rPr>
          <w:bCs/>
          <w:b/>
        </w:rPr>
        <w:t xml:space="preserve">LINK DOWN</w:t>
      </w:r>
      <w:r>
        <w:t xml:space="preserve"> </w:t>
      </w:r>
      <w:r>
        <w:t xml:space="preserve">marker for failed links.</w:t>
      </w:r>
    </w:p>
    <w:bookmarkEnd w:id="27"/>
    <w:bookmarkStart w:id="28" w:name="limitations"/>
    <w:p>
      <w:pPr>
        <w:pStyle w:val="Heading2"/>
      </w:pPr>
      <w:r>
        <w:t xml:space="preserve">9. Limitations</w:t>
      </w:r>
    </w:p>
    <w:p>
      <w:pPr>
        <w:numPr>
          <w:ilvl w:val="0"/>
          <w:numId w:val="1005"/>
        </w:numPr>
        <w:pStyle w:val="Compact"/>
      </w:pPr>
      <w:r>
        <w:t xml:space="preserve">The coefficients are reasoned choices, not values fitted to field data. They should be re-tuned against measured transformer data before any real use.</w:t>
      </w:r>
    </w:p>
    <w:p>
      <w:pPr>
        <w:numPr>
          <w:ilvl w:val="0"/>
          <w:numId w:val="1005"/>
        </w:numPr>
        <w:pStyle w:val="Compact"/>
      </w:pPr>
      <w:r>
        <w:t xml:space="preserve">The twin’s network has no impedances or power-flow constraints. A transfer moves apparent power between units, assuming they are electrically tie-able and lossless.</w:t>
      </w:r>
    </w:p>
    <w:p>
      <w:pPr>
        <w:numPr>
          <w:ilvl w:val="0"/>
          <w:numId w:val="1005"/>
        </w:numPr>
        <w:pStyle w:val="Compact"/>
      </w:pPr>
      <w:r>
        <w:t xml:space="preserve">Isolation and shedding are flags and simulated load changes. No physical switching exists in this project.</w:t>
      </w:r>
    </w:p>
    <w:p>
      <w:pPr>
        <w:numPr>
          <w:ilvl w:val="0"/>
          <w:numId w:val="1005"/>
        </w:numPr>
        <w:pStyle w:val="Compact"/>
      </w:pPr>
      <w:r>
        <w:t xml:space="preserve">The health score is an operational indicator. It is not an IEC insulation-ageing estimate. The twin keeps its separate physics-based ageing index.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2026-10-21T11:42:33Z</dcterms:created>
  <dcterms:modified xsi:type="dcterms:W3CDTF">2026-10-21T11:42:33Z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