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SafeAI Desk</w:t>
      </w:r>
    </w:p>
    <w:p>
      <w:pPr>
        <w:jc w:val="center"/>
      </w:pPr>
      <w:r>
        <w:rPr>
          <w:i/>
        </w:rPr>
        <w:t>Руководство оператора базы знаний</w:t>
      </w:r>
    </w:p>
    <w:p>
      <w:r>
        <w:t>Документ подготовлен для проверки загрузки, хранения, версионирования и скачивания файлов в модуле баз знаний SafeAI Desk.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Параметр</w:t>
            </w:r>
          </w:p>
        </w:tc>
        <w:tc>
          <w:tcPr>
            <w:tcW w:type="dxa" w:w="4929"/>
          </w:tcPr>
          <w:p>
            <w:r>
              <w:t>Значение</w:t>
            </w:r>
          </w:p>
        </w:tc>
      </w:tr>
      <w:tr>
        <w:tc>
          <w:tcPr>
            <w:tcW w:type="dxa" w:w="4929"/>
          </w:tcPr>
          <w:p>
            <w:r>
              <w:t>Версия документа</w:t>
            </w:r>
          </w:p>
        </w:tc>
        <w:tc>
          <w:tcPr>
            <w:tcW w:type="dxa" w:w="4929"/>
          </w:tcPr>
          <w:p>
            <w:r>
              <w:t>1.0</w:t>
            </w:r>
          </w:p>
        </w:tc>
      </w:tr>
      <w:tr>
        <w:tc>
          <w:tcPr>
            <w:tcW w:type="dxa" w:w="4929"/>
          </w:tcPr>
          <w:p>
            <w:r>
              <w:t>Назначение</w:t>
            </w:r>
          </w:p>
        </w:tc>
        <w:tc>
          <w:tcPr>
            <w:tcW w:type="dxa" w:w="4929"/>
          </w:tcPr>
          <w:p>
            <w:r>
              <w:t>Тестовый документ с полноценным читаемым содержимым</w:t>
            </w:r>
          </w:p>
        </w:tc>
      </w:tr>
      <w:tr>
        <w:tc>
          <w:tcPr>
            <w:tcW w:type="dxa" w:w="4929"/>
          </w:tcPr>
          <w:p>
            <w:r>
              <w:t>Кодировка текста</w:t>
            </w:r>
          </w:p>
        </w:tc>
        <w:tc>
          <w:tcPr>
            <w:tcW w:type="dxa" w:w="4929"/>
          </w:tcPr>
          <w:p>
            <w:r>
              <w:t>Unicode / UTF-8</w:t>
            </w:r>
          </w:p>
        </w:tc>
      </w:tr>
      <w:tr>
        <w:tc>
          <w:tcPr>
            <w:tcW w:type="dxa" w:w="4929"/>
          </w:tcPr>
          <w:p>
            <w:r>
              <w:t>Контрольный маркер</w:t>
            </w:r>
          </w:p>
        </w:tc>
        <w:tc>
          <w:tcPr>
            <w:tcW w:type="dxa" w:w="4929"/>
          </w:tcPr>
          <w:p>
            <w:r>
              <w:t>ATLAS-440</w:t>
            </w:r>
          </w:p>
        </w:tc>
      </w:tr>
    </w:tbl>
    <w:p>
      <w:pPr>
        <w:pStyle w:val="Heading1"/>
      </w:pPr>
      <w:r>
        <w:t>1. Назначение модуля</w:t>
      </w:r>
    </w:p>
    <w:p>
      <w:r>
        <w:t>Модуль баз знаний предназначен для централизованного хранения внутренних документов организации. Пользователь может создать базу знаний, загрузить документ, добавить новую версию и скачать текущую или конкретную историческую версию.</w:t>
      </w:r>
    </w:p>
    <w:p>
      <w:r>
        <w:t>Доступ к данным ограничивается организацией пользователя и уровнем доступа к конкретной базе знаний. Для обычного пользователя поддерживаются режимы просмотра, редактирования и владения ресурсом.</w:t>
      </w:r>
    </w:p>
    <w:p>
      <w:pPr>
        <w:pStyle w:val="Heading1"/>
      </w:pPr>
      <w:r>
        <w:t>2. Обычный сценарий оператора</w:t>
      </w:r>
    </w:p>
    <w:p>
      <w:pPr>
        <w:pStyle w:val="ListNumber"/>
      </w:pPr>
      <w:r>
        <w:t>Открыть раздел «Базы знаний».</w:t>
      </w:r>
    </w:p>
    <w:p>
      <w:pPr>
        <w:pStyle w:val="ListNumber"/>
      </w:pPr>
      <w:r>
        <w:t>Выбрать существующую базу или создать новую, если у пользователя есть административные права.</w:t>
      </w:r>
    </w:p>
    <w:p>
      <w:pPr>
        <w:pStyle w:val="ListNumber"/>
      </w:pPr>
      <w:r>
        <w:t>Нажать «Загрузить документ» и выбрать файл допустимого типа: TXT, HTML, DOCX или PDF.</w:t>
      </w:r>
    </w:p>
    <w:p>
      <w:pPr>
        <w:pStyle w:val="ListNumber"/>
      </w:pPr>
      <w:r>
        <w:t>Проверить имя документа и дождаться подтверждения загрузки.</w:t>
      </w:r>
    </w:p>
    <w:p>
      <w:pPr>
        <w:pStyle w:val="ListNumber"/>
      </w:pPr>
      <w:r>
        <w:t>При необходимости загрузить новую версию документа. Предыдущая версия должна остаться доступной.</w:t>
      </w:r>
    </w:p>
    <w:p>
      <w:pPr>
        <w:pStyle w:val="ListNumber"/>
      </w:pPr>
      <w:r>
        <w:t>Скачать текущую версию и убедиться, что имя файла, тип содержимого и размер совпадают с ожидаемыми.</w:t>
      </w:r>
    </w:p>
    <w:p>
      <w:pPr>
        <w:pStyle w:val="Heading1"/>
      </w:pPr>
      <w:r>
        <w:t>3. Проверки безопасности</w:t>
      </w:r>
    </w:p>
    <w:p>
      <w:pPr>
        <w:pStyle w:val="ListBullet"/>
      </w:pPr>
      <w:r>
        <w:t>Имя файла не должно содержать управляющие символы и путь к локальному каталогу пользователя.</w:t>
      </w:r>
    </w:p>
    <w:p>
      <w:pPr>
        <w:pStyle w:val="ListBullet"/>
      </w:pPr>
      <w:r>
        <w:t>Фактический тип файла определяется по содержимому, а не по Content-Type, присланному клиентом.</w:t>
      </w:r>
    </w:p>
    <w:p>
      <w:pPr>
        <w:pStyle w:val="ListBullet"/>
      </w:pPr>
      <w:r>
        <w:t>Для PDF проверяются сигнатура %PDF- и завершающий маркер %%EOF.</w:t>
      </w:r>
    </w:p>
    <w:p>
      <w:pPr>
        <w:pStyle w:val="ListBullet"/>
      </w:pPr>
      <w:r>
        <w:t>Для DOCX проверяется структура ZIP-пакета и тип основного документа Word.</w:t>
      </w:r>
    </w:p>
    <w:p>
      <w:pPr>
        <w:pStyle w:val="ListBullet"/>
      </w:pPr>
      <w:r>
        <w:t>Ключ объекта в хранилище формируется сервером и не принимается от клиента.</w:t>
      </w:r>
    </w:p>
    <w:p>
      <w:pPr>
        <w:pStyle w:val="ListBullet"/>
      </w:pPr>
      <w:r>
        <w:t>Доступ между разными организациями запрещён.</w:t>
      </w:r>
    </w:p>
    <w:p>
      <w:pPr>
        <w:pStyle w:val="Heading1"/>
      </w:pPr>
      <w:r>
        <w:t>4. Версионирование</w:t>
      </w:r>
    </w:p>
    <w:p>
      <w:r>
        <w:t>Каждая новая загрузка версии создаёт отдельную неизменяемую запись. Поле current_version_id у документа указывает на актуальную версию. Исторические версии не перезаписываются и сохраняют исходное имя файла, размер, SHA-256 и ключ объекта.</w:t>
      </w:r>
    </w:p>
    <w:p>
      <w:pPr>
        <w:pStyle w:val="Heading1"/>
      </w:pPr>
      <w:r>
        <w:t>5. Ожидаемый результат проверки</w:t>
      </w:r>
    </w:p>
    <w:p>
      <w:r>
        <w:t>Файл должен без ошибок открываться в Microsoft Word, LibreOffice Writer и других программах с поддержкой формата DOCX. Текст должен отображаться на русском языке, таблица и нумерованные списки должны сохранять структуру.</w:t>
      </w:r>
    </w:p>
    <w:p>
      <w:r>
        <w:t>Контрольная строка: VECTOR-2026-19.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