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de carga de clientes NFE Alert</w:t>
      </w:r>
    </w:p>
    <w:p>
      <w:pPr>
        <w:spacing w:after="200"/>
      </w:pPr>
      <w:r>
        <w:rPr>
          <w:color w:val="4B545D"/>
          <w:sz w:val="22"/>
        </w:rPr>
        <w:t>Evaluación de hallazgos para desarrollo y QA</w:t>
      </w:r>
    </w:p>
    <w:p>
      <w:pPr>
        <w:spacing w:after="240"/>
      </w:pPr>
      <w:r>
        <w:rPr>
          <w:b/>
          <w:sz w:val="17"/>
        </w:rPr>
        <w:t xml:space="preserve">Versión analizada: </w:t>
      </w:r>
      <w:r>
        <w:rPr>
          <w:sz w:val="17"/>
        </w:rPr>
        <w:t>main 0d3daec</w:t>
      </w:r>
      <w:r>
        <w:rPr>
          <w:sz w:val="17"/>
        </w:rPr>
        <w:t xml:space="preserve">   •   </w:t>
      </w:r>
      <w:r>
        <w:rPr>
          <w:b/>
          <w:sz w:val="17"/>
        </w:rPr>
        <w:t xml:space="preserve">Fecha: </w:t>
      </w:r>
      <w:r>
        <w:rPr>
          <w:sz w:val="17"/>
        </w:rPr>
        <w:t>21 de octubre de 2026</w:t>
      </w:r>
      <w:r>
        <w:rPr>
          <w:sz w:val="17"/>
        </w:rPr>
        <w:t xml:space="preserve">   •   </w:t>
      </w:r>
      <w:r>
        <w:rPr>
          <w:b/>
          <w:sz w:val="17"/>
        </w:rPr>
        <w:t xml:space="preserve">Base del análisis: </w:t>
      </w:r>
      <w:r>
        <w:rPr>
          <w:sz w:val="17"/>
        </w:rPr>
        <w:t>código y evidencias entregadas</w:t>
      </w:r>
    </w:p>
    <w:p>
      <w:pPr>
        <w:pStyle w:val="Heading1"/>
      </w:pPr>
      <w:r>
        <w:t>Conclusión</w:t>
      </w:r>
    </w:p>
    <w:p>
      <w:pPr>
        <w:spacing w:after="120"/>
      </w:pPr>
      <w:r>
        <w:t>La versión actual de main contiene defectos de código que debe corregir DEV, en particular AC-02, AC-01, AC-04 y AC-05. El informe de QA también presenta expectativas funcionales que aún requieren definición y al menos dos problemas concretos de datos o evidencia de prueba. Los 65 resultados marcados xfail son una cifra declarada por el informe, no 65 defectos de producto verificados.</w:t>
      </w:r>
    </w:p>
    <w:p>
      <w:pPr>
        <w:spacing w:after="120"/>
      </w:pPr>
      <w:r>
        <w:t>El commit 0d3daec incorporó un flush para obtener el ID asignado al cliente nuevo antes de insertar sus jurisdicciones. Ese cambio no resuelve los hallazgos sobre recargas y todavía no tiene un test de regresión específico.</w:t>
      </w:r>
    </w:p>
    <w:p>
      <w:pPr>
        <w:pStyle w:val="Heading1"/>
      </w:pPr>
      <w:r>
        <w:t>Cómo leer los veredictos</w:t>
      </w:r>
    </w:p>
    <w:p>
      <w:pPr>
        <w:spacing w:after="120"/>
      </w:pPr>
      <w:r>
        <w:t>DEV confirmado significa que el flujo problemático se observa en el código actual. QA o negocio primero indica que el resultado esperado del test no está fijado en el alcance disponible. Compartido significa que hay un riesgo técnico real y, a la vez, una regla de aceptación que debe acordarse. La referencia de archivo y línea permite revisar cada conclusión en el commit indicado.</w:t>
      </w:r>
    </w:p>
    <w:p>
      <w:pPr>
        <w:pStyle w:val="Heading1"/>
      </w:pPr>
      <w:r>
        <w:t>Veredicto por caso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1901"/>
        <w:gridCol w:w="7373"/>
      </w:tblGrid>
      <w:tr>
        <w:trPr>
          <w:tblHeader w:val="true"/>
          <w:cantSplit/>
        </w:trPr>
        <w:tc>
          <w:tcPr>
            <w:tcW w:type="dxa" w:w="835"/>
            <w:shd w:fill="263C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901"/>
            <w:shd w:fill="263C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7373"/>
            <w:shd w:fill="263C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Fundamento y criterio de cierre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AC-01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 recarga toma fecha_creacion de la primera fila de toda la tabla, no del cliente que se actualiza. DEV debe preservar la fecha propia del cliente y de cada relación. Cierre: recargar A después de crear B y comparar fechas e ID antes y después. processor.py:47–53, 216–235.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AC-02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Un error de SELECT se imprime y se devuelve como DataFrame vacío; luego se inicia el camino de alta. DEV debe propagar el error y evitar escrituras. Cierre: un fallo de lectura deja al cliente en ERROR y sin cambios. El duplicado efectivo en SQL Server depende del DDL y del estado de sesión. db_conector.py:73–89; processor.py:218–219, 282–305.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AC-03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QA y negocio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El código usa client_folder como identidad. Unicidad por CUIT, renombres y diferencias de mayúsculas son reglas pendientes. QA debe acordarlas y corregir el caso con espacio final, cuya evidencia muestra un solo cliente; DEV implementa la regla aprobada. processor.py:210–228; CP-MOD-09.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AC-04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Consultar convierte cualquier valor distinto de No en 1, incluido vacío o texto inválido. DEV debe validar las opciones acordadas y rechazar las demás antes de escribir. Cierre: ningún valor inválido activa una jurisdicción. processor.py:163–168, 183–185.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AC-05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 actualización omite sin error una relación nueva y tampoco retira las ausentes del Excel. DEV debe sincronizar altas, cambios y bajas o informar un error; nunca devolver OK con datos viejos. Cierre: comparar el conjunto completo de relaciones tras la recarga. processor.py:262–274; db_conector.py:143–193.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AC-06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y negocio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 recarga pone fecha_login_error en NULL y repone documentacion, filtro_fce y, si falta la columna, ZIP por defecto. La sobreescritura es real; negocio debe definir qué campos se preservan. DEV aplica esa matriz. Cierre: recarga idéntica sin pérdida de estado ajeno al Excel. processor.py:93–104, 186–200.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AC-07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QA y negocio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Schedule se lee pero no se guarda ni activa una agenda en este componente. QA no debe exigir persistencia hasta definir el efecto esperado; DEV lo implementa si entra en alcance. processor.py:80–88, 110–126; models.py:17–29.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AC-08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Compartido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El parser exige nombres exactos y el separador '; '; los inválidos producen errores poco orientativos. DEV debe indicar campo y valor rechazado. QA debe definir si se aceptan comas, cambios de tilde o días repetidos. processor.py:17–25, 55–68.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AC-09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Compartido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Faltan validaciones previas de datos. QA y negocio deben acordar reglas de CUIT, correos, rango, credenciales y valores de ejemplo; DEV debe validar antes de toda escritura. Cierre: matriz de entradas válidas e inválidas con rechazo atómico en BD. processor.py:70–208.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AC-10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Compartido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El cruce permite códigos sin ID y filas duplicadas sin control explícito. DEV debe detectar y rechazar esas entradas. Exigir exactamente 26 jurisdicciones requiere confirmación funcional; repetir el caso en SQL Server con su DDL. processor.py:141–180, 192–208.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AC-11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Compartido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 ausencia de la hoja ya nombra archivo y hoja; encabezados o filas movidas siguen sin diagnóstico claro. DEV debe validar la estructura y alinear documentación. QA debe usar la plantilla real y acordar si se aceptan encabezados alternativos. excel_utils.py:26–38; processor.py:80–88, 141–160.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AC-12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parcial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Un archivo temporal de Excel con prefijo ~$ cuenta como segundo archivo y excluye al cliente. DEV debe ignorarlo y decidir cómo incluir carpetas omitidas en el resumen. Las carpetas vacías o con varios Excel ya generan WARNING; el título 'en silencio' del informe es incorrecto. excel_utils.py:49–85; process_manager.py:32–81.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AC-13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Los errores de lectura y conexión de BD se envían a print, fuera del archivo de log. DEV debe registrar destino, cliente, archivo y fase sin incluir secretos. Cierre: fallo de lectura visible en el log de la corrida. db_conector.py:28–35, 73–89; logger.py:8–18.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AC-14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confirmado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README no coincide con el código en DB_PRODUCCION, ubicación del Excel, soporte .xls sin xlrd, versión mínima de Python y gestión de usuarios. Tampoco explica las variables de nombre de BD que exige config.py. DEV debe alinear código, dependencias y documentación. La referencia a main.py ya está corregida. README.md:11, 19, 43, 69–73; config.py:20–29; pyproject.toml:6–22.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AC-15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y seguridad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La contraseña de BD se concatena sin codificar en la URL de conexión; caracteres como @ o / pueden romperla. DEV debe construirla con un mecanismo seguro. Seguridad y operaciones definen almacenamiento y distribución de credenciales. db_conector.py:16–20.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sz w:val="17"/>
              </w:rPr>
              <w:t>AC-16</w:t>
            </w:r>
          </w:p>
        </w:tc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13648"/>
                <w:sz w:val="17"/>
              </w:rPr>
              <w:t>DEV y QA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rFonts w:ascii="Aptos" w:hAnsi="Aptos"/>
                <w:sz w:val="17"/>
              </w:rPr>
              <w:t>Los tests del repositorio comprueban constantes locales o condiciones triviales y no cubren la nueva asignación de ID. DEV debe agregar regresiones de alta, recarga y fallo de lectura. QA debe entregar y revisar tests_oven para auditar sus asserts y fixtures. tests/test_processor.py:20–59; tests/conftest.py:22–62.</w:t>
            </w:r>
          </w:p>
        </w:tc>
      </w:tr>
    </w:tbl>
    <w:p>
      <w:pPr>
        <w:pStyle w:val="Heading1"/>
      </w:pPr>
      <w:r>
        <w:t>Problemas de prueba y límites de la evidencia</w:t>
      </w:r>
    </w:p>
    <w:p>
      <w:pPr>
        <w:pStyle w:val="ListBullet"/>
        <w:spacing w:after="80"/>
        <w:ind w:left="360" w:hanging="173"/>
      </w:pPr>
      <w:r>
        <w:t>El informe declara 143 ejecuciones: 77 passed, 65 xfailed y 1 failed. El paquete tiene 136 páginas de resultado, pero no incluye el código de tests_oven, su salida de pytest, las fixtures ni el DDL. Estas cifras se registran como declaración de QA, no como resultado auditado.</w:t>
      </w:r>
    </w:p>
    <w:p>
      <w:pPr>
        <w:pStyle w:val="ListBullet"/>
        <w:spacing w:after="80"/>
        <w:ind w:left="360" w:hanging="173"/>
      </w:pPr>
      <w:r>
        <w:t>Los resultados HTML muestran una SQLite ficticia, no nfe_alert en SQL Server. Sus consultas filtran clientes con documentacion=1 y jurisdicciones activas mediante INNER JOIN, por lo que no muestran todos los registros necesarios para validar AC-06 y AC-10.</w:t>
      </w:r>
    </w:p>
    <w:p>
      <w:pPr>
        <w:pStyle w:val="ListBullet"/>
        <w:spacing w:after="80"/>
        <w:ind w:left="360" w:hanging="173"/>
      </w:pPr>
      <w:r>
        <w:t>CP-MOD-09 con espacio final muestra un cliente, aunque el informe atribuye duplicación a ese subcaso. CP-DIAS-09 crea 31 clientes con el mismo CUIT ficticio: esa fixture debe cambiar si se aprueba la unicidad por CUIT.</w:t>
      </w:r>
    </w:p>
    <w:p>
      <w:pPr>
        <w:pStyle w:val="ListBullet"/>
        <w:spacing w:after="80"/>
        <w:ind w:left="360" w:hanging="173"/>
      </w:pPr>
      <w:r>
        <w:t>El Excel generado en tests/conftest.py coloca la cabecera en la primera fila; leer_excel_input omite esa fila con skiprows=1. El test sólo comprueba que el DataFrame no esté vacío y puede pasar con encabezados incorrectos.</w:t>
      </w:r>
    </w:p>
    <w:p>
      <w:pPr>
        <w:pStyle w:val="Heading1"/>
      </w:pPr>
      <w:r>
        <w:t>Acciones para cerrar el análisis</w:t>
      </w:r>
    </w:p>
    <w:p>
      <w:pPr>
        <w:spacing w:after="120"/>
      </w:pPr>
      <w:r>
        <w:t>DEV debe corregir primero AC-02, AC-01, AC-04 y AC-05. Después corresponde cerrar la política de conservación de campos para AC-06 y la validación de jurisdicciones para AC-10. Los cambios deben quedar cubiertos por pruebas que ejecuten el procesamiento real, incluido el ID de alta introducido en 0d3daec.</w:t>
      </w:r>
    </w:p>
    <w:p>
      <w:pPr>
        <w:spacing w:after="120"/>
      </w:pPr>
      <w:r>
        <w:t>QA debe aportar la suite tests_oven, su reporte bruto de pytest y los estados iniciales de los casos de modificación; corregir las fixtures contradictorias y vincular cada esperado con un criterio acordado. DEV y QA deben validar alta, recarga y fallo de lectura en SQL Server DEV, con el DDL disponible y comparación de tablas antes y después.</w:t>
      </w:r>
    </w:p>
    <w:p>
      <w:pPr>
        <w:spacing w:after="120"/>
      </w:pPr>
      <w:r>
        <w:t>El DoD local fechado el 13 de octubre describe el commit anterior e2974d y cinco tablas. Su regla de recarga integral sirve como antecedente funcional, pero debe actualizarse para main 0d3daec. En la versión actual se procesan clientes y cliente_jurisdiccion; los modelos de usuarios autorizados y usuario_cliente están comentados. DEV y QA deben acordar si esas relaciones siguen dentro del alcance de la entrega.</w:t>
      </w:r>
    </w:p>
    <w:p>
      <w:pPr>
        <w:pStyle w:val="Heading1"/>
      </w:pPr>
      <w:r>
        <w:t>Decisiones funcionales pendientes</w:t>
      </w:r>
    </w:p>
    <w:p>
      <w:pPr>
        <w:pStyle w:val="ListBullet"/>
        <w:spacing w:after="80"/>
        <w:ind w:left="360" w:hanging="173"/>
      </w:pPr>
      <w:r>
        <w:t>Identidad del cliente: confirmar si la clave de negocio es la carpeta, el CUIT o una combinación; definir qué sucede ante un renombre y si se exige unicidad en SQL Server.</w:t>
      </w:r>
    </w:p>
    <w:p>
      <w:pPr>
        <w:pStyle w:val="ListBullet"/>
        <w:spacing w:after="80"/>
        <w:ind w:left="360" w:hanging="173"/>
      </w:pPr>
      <w:r>
        <w:t>Recarga: acordar qué campos operativos se preservan, qué asociaciones se agregan o retiran y si usuarios_autorizados y usuario_cliente siguen dentro del alcance.</w:t>
      </w:r>
    </w:p>
    <w:p>
      <w:pPr>
        <w:pStyle w:val="ListBullet"/>
        <w:spacing w:after="80"/>
        <w:ind w:left="360" w:hanging="173"/>
      </w:pPr>
      <w:r>
        <w:t>Entrada Excel: definir formatos válidos de días, reglas de CUIT y correos, obligatoriedad de credenciales, cantidad permitida de jurisdicciones y tratamiento de filas desconocidas o duplicadas.</w:t>
      </w:r>
    </w:p>
    <w:p>
      <w:pPr>
        <w:pStyle w:val="ListBullet"/>
        <w:spacing w:after="80"/>
        <w:ind w:left="360" w:hanging="173"/>
      </w:pPr>
      <w:r>
        <w:t>Schedule: decidir si es un dato informativo, una configuración persistida o una función externa a este proceso.</w:t>
      </w:r>
    </w:p>
    <w:p>
      <w:pPr>
        <w:pStyle w:val="Heading1"/>
      </w:pPr>
      <w:r>
        <w:t>Criterio de cierre compartido</w:t>
      </w:r>
    </w:p>
    <w:p>
      <w:pPr>
        <w:spacing w:after="120"/>
      </w:pPr>
      <w:r>
        <w:t>Cada corrección debe quedar vinculada con un caso de regresión versionado que ejecute la ruta real del código. Para dar por resuelta la carga y recarga, QA debe comparar antes y después las tablas en SQL Server DEV, comprobar que un fallo de lectura no modifica datos y adjuntar la salida completa de la corrida. El caso debe registrar el commit, las versiones de dependencias y el resultado esperado aprobado.</w:t>
      </w:r>
    </w:p>
    <w:p>
      <w:pPr>
        <w:pStyle w:val="Heading1"/>
      </w:pPr>
      <w:r>
        <w:t>Fuentes revisadas</w:t>
      </w:r>
    </w:p>
    <w:p>
      <w:pPr>
        <w:spacing w:after="120"/>
      </w:pPr>
      <w:r>
        <w:t>Repositorio NFE Alert, rama main, commit 0d3daec5663854eba315383339b42b3ba5e8e666. Código y documentación: processor.py, db_conector.py, excel_utils.py, process_manager.py, config.py, models.py, README.md, pyproject.toml y tests/. Informe recibido: NFE Alert — Bugs encontrados en la carga de clientes.docx. Evidencias recibidas: carpeta evidencias/ con archivos Excel, capturas HTML y resultado_bd.html por caso. DoD local: DOD_QA_Carga_Actualizacion_Clientes_NFE_Alert.docx, referido al commit e2974d.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51" w:bottom="979" w:left="105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069"/>
        <w:sz w:val="16"/>
      </w:rPr>
      <w:t xml:space="preserve">NFE Alert  |  21 de octubre de 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86069"/>
        <w:sz w:val="16"/>
      </w:rPr>
      <w:t>NFE Alert  |  Diagnóstico de carga de clientes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color w:val="1B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de carga de clientes NFE Alert</dc:title>
  <dc:subject>Evaluación de bugs y pruebas para DEV y QA</dc:subject>
  <dc:creator/>
  <cp:keywords>NFE Alert, DEV, QA, carga de clientes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