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Raphel — Business Dossier / Dossier de Negocio</w:t>
      </w:r>
    </w:p>
    <w:p>
      <w:pPr>
        <w:pStyle w:val="Subtitle"/>
      </w:pPr>
      <w:r>
        <w:t xml:space="preserve">Build cost, running cost &amp; commercial model · Costo de construcción, operación y modelo comercial</w:t>
      </w:r>
    </w:p>
    <w:p>
      <w:pPr>
        <w:pStyle w:val="Author"/>
      </w:pPr>
      <w:r>
        <w:t xml:space="preserve">Gamaliel Leguista</w:t>
      </w:r>
    </w:p>
    <w:p>
      <w:pPr>
        <w:pStyle w:val="Date"/>
      </w:pPr>
      <w:r>
        <w:t xml:space="preserve">2026-06-11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part-i-english-version"/>
    <w:p>
      <w:pPr>
        <w:pStyle w:val="Heading1"/>
      </w:pPr>
      <w:r>
        <w:t xml:space="preserve">PART I — ENGLISH VERSION</w:t>
      </w:r>
    </w:p>
    <w:p>
      <w:pPr>
        <w:pStyle w:val="FirstParagraph"/>
      </w:pPr>
      <w:r>
        <w:rPr>
          <w:b/>
          <w:bCs/>
        </w:rPr>
        <w:t xml:space="preserve">Classification: INTERNAL.</w:t>
      </w:r>
      <w:r>
        <w:t xml:space="preserve"> </w:t>
      </w:r>
      <w:r>
        <w:t xml:space="preserve">This document contains cost basis and margin data. Sections 2, 4.1, 5 and 6 may be shared with buyers;</w:t>
      </w:r>
      <w:r>
        <w:t xml:space="preserve"> </w:t>
      </w:r>
      <w:r>
        <w:rPr>
          <w:b/>
          <w:bCs/>
        </w:rPr>
        <w:t xml:space="preserve">never share section 3.1 (cost basis) or the margin tables</w:t>
      </w:r>
      <w:r>
        <w:t xml:space="preserve"> </w:t>
      </w:r>
      <w:r>
        <w:t xml:space="preserve">— they are negotiation leverage. The client-facing offer is the separate commercial proposal.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Raphel is an operational, multi-tenant SaaS for construction-site management in the Dominican Republic — an immutable, legally-oriented site logbook (</w:t>
      </w:r>
      <w:r>
        <w:t xml:space="preserve">“la caja negra de tu obra”</w:t>
      </w:r>
      <w:r>
        <w:t xml:space="preserve">) with offline-first field capture, change-order workflow, and AI-generated reports. It was produced for</w:t>
      </w:r>
      <w:r>
        <w:t xml:space="preserve"> </w:t>
      </w:r>
      <w:r>
        <w:rPr>
          <w:b/>
          <w:bCs/>
        </w:rPr>
        <w:t xml:space="preserve">under US$2,500</w:t>
      </w:r>
      <w:r>
        <w:t xml:space="preserve"> </w:t>
      </w:r>
      <w:r>
        <w:t xml:space="preserve">in direct cost, would cost a buyer</w:t>
      </w:r>
      <w:r>
        <w:t xml:space="preserve"> </w:t>
      </w:r>
      <w:r>
        <w:rPr>
          <w:b/>
          <w:bCs/>
        </w:rPr>
        <w:t xml:space="preserve">US$25,000–180,000 to replicate</w:t>
      </w:r>
      <w:r>
        <w:t xml:space="preserve">, runs on</w:t>
      </w:r>
      <w:r>
        <w:t xml:space="preserve"> </w:t>
      </w:r>
      <w:r>
        <w:rPr>
          <w:b/>
          <w:bCs/>
        </w:rPr>
        <w:t xml:space="preserve">US$30–50/month</w:t>
      </w:r>
      <w:r>
        <w:t xml:space="preserve"> </w:t>
      </w:r>
      <w:r>
        <w:t xml:space="preserve">of infrastructure today, and supports a subscription model with</w:t>
      </w:r>
      <w:r>
        <w:t xml:space="preserve"> </w:t>
      </w:r>
      <w:r>
        <w:rPr>
          <w:b/>
          <w:bCs/>
        </w:rPr>
        <w:t xml:space="preserve">66–77% net margins</w:t>
      </w:r>
      <w:r>
        <w:t xml:space="preserve"> </w:t>
      </w:r>
      <w:r>
        <w:t xml:space="preserve">at honest, fully-loaded unit costs.</w:t>
      </w:r>
    </w:p>
    <w:p>
      <w:pPr>
        <w:pStyle w:val="BodyText"/>
      </w:pPr>
      <w:r>
        <w:t xml:space="preserve">Three ways to monetize, in ascending value: sell the asset now (</w:t>
      </w:r>
      <w:r>
        <w:rPr>
          <w:b/>
          <w:bCs/>
        </w:rPr>
        <w:t xml:space="preserve">US$40–65K</w:t>
      </w:r>
      <w:r>
        <w:t xml:space="preserve">), license it to construction companies (</w:t>
      </w:r>
      <w:r>
        <w:rPr>
          <w:b/>
          <w:bCs/>
        </w:rPr>
        <w:t xml:space="preserve">~US$42K ARR at 10 clients → US$125–170K asset value</w:t>
      </w:r>
      <w:r>
        <w:t xml:space="preserve">), or hybrid (majority sale + retained stake + operator contract).</w:t>
      </w:r>
    </w:p>
    <w:bookmarkEnd w:id="9"/>
    <w:bookmarkStart w:id="13" w:name="the-asset"/>
    <w:p>
      <w:pPr>
        <w:pStyle w:val="Heading2"/>
      </w:pPr>
      <w:r>
        <w:t xml:space="preserve">2. The asset</w:t>
      </w:r>
    </w:p>
    <w:bookmarkStart w:id="10" w:name="product-operational-today"/>
    <w:p>
      <w:pPr>
        <w:pStyle w:val="Heading3"/>
      </w:pPr>
      <w:r>
        <w:t xml:space="preserve">2.1 Product (operational today)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Immutable registro ledger</w:t>
      </w:r>
      <w:r>
        <w:t xml:space="preserve"> </w:t>
      </w:r>
      <w:r>
        <w:t xml:space="preserve">— every field entry sealed with server timestamp, GPS, and a cryptographic hash chain; one-click chain verification. This is the legal-evidence core and the hardest-to-replicate component.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Offline-first PWA</w:t>
      </w:r>
      <w:r>
        <w:t xml:space="preserve"> </w:t>
      </w:r>
      <w:r>
        <w:t xml:space="preserve">— full capture without signal (local queue, background sync, idempotent server dedupe). The second hardest-to-replicate component.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 + 4-role access control</w:t>
      </w:r>
      <w:r>
        <w:t xml:space="preserve"> </w:t>
      </w:r>
      <w:r>
        <w:t xml:space="preserve">— Admin / Manager / Supervisor / Resident, project-scoped assignments, tested server-side on every query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orders (Solicitudes de Cambio)</w:t>
      </w:r>
      <w:r>
        <w:t xml:space="preserve"> </w:t>
      </w:r>
      <w:r>
        <w:t xml:space="preserve">— approval workflow with mandatory reminders, mandatory resolution feedback, cryptographic seals, markers propagated into affected work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Obras → Bloques → Partidas</w:t>
      </w:r>
      <w:r>
        <w:t xml:space="preserve"> </w:t>
      </w:r>
      <w:r>
        <w:t xml:space="preserve">structure with per-bloque spaces (Cuaderno, Planos, Levantamientos, Ideas, Media, Recordatorios, Indicadores), tags, recycle bins, full audit 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Notifications, phase-based analytics, PDF reports, ES/EN interface, dark 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hardening</w:t>
      </w:r>
      <w:r>
        <w:t xml:space="preserve"> </w:t>
      </w:r>
      <w:r>
        <w:t xml:space="preserve">(independent audit pass): session revocation, login throttling, ledger write locks, PDF sanitization, upload caps, tenancy verified fail-closed.</w:t>
      </w:r>
    </w:p>
    <w:bookmarkEnd w:id="10"/>
    <w:bookmarkStart w:id="11" w:name="engineering-quality-signals"/>
    <w:p>
      <w:pPr>
        <w:pStyle w:val="Heading3"/>
      </w:pPr>
      <w:r>
        <w:t xml:space="preserve">2.2 Engineering quality signals</w:t>
      </w:r>
    </w:p>
    <w:p>
      <w:pPr>
        <w:pStyle w:val="Compact"/>
        <w:numPr>
          <w:ilvl w:val="0"/>
          <w:numId w:val="1002"/>
        </w:numPr>
      </w:pPr>
      <w:r>
        <w:t xml:space="preserve">226 automated tests across 53 files, green; lint clean; CI with a real-database test gate.</w:t>
      </w:r>
    </w:p>
    <w:p>
      <w:pPr>
        <w:pStyle w:val="Compact"/>
        <w:numPr>
          <w:ilvl w:val="0"/>
          <w:numId w:val="1002"/>
        </w:numPr>
      </w:pPr>
      <w:r>
        <w:t xml:space="preserve">Production deploy configuration (Netlify + Supabase + Cloudflare R2 + Resend), migrations pipeline.</w:t>
      </w:r>
    </w:p>
    <w:p>
      <w:pPr>
        <w:pStyle w:val="Compact"/>
        <w:numPr>
          <w:ilvl w:val="0"/>
          <w:numId w:val="1002"/>
        </w:numPr>
      </w:pPr>
      <w:r>
        <w:t xml:space="preserve">Full written spec history (8 design documents) and a 4-round forward roadmap with one round already shipped.</w:t>
      </w:r>
    </w:p>
    <w:bookmarkEnd w:id="11"/>
    <w:bookmarkStart w:id="12" w:name="roadmap"/>
    <w:p>
      <w:pPr>
        <w:pStyle w:val="Heading3"/>
      </w:pPr>
      <w:r>
        <w:t xml:space="preserve">2.3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t xml:space="preserve">Rename, labels, permission fixes, change-order hardening, delete notifications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 2026-06-11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Project cover photos,</w:t>
            </w:r>
            <w:r>
              <w:t xml:space="preserve"> </w:t>
            </w:r>
            <w:r>
              <w:rPr>
                <w:b/>
                <w:bCs/>
              </w:rPr>
              <w:t xml:space="preserve">unique registration code + QR certification</w:t>
            </w:r>
            <w:r>
              <w:t xml:space="preserve">, team profiles, company seal</w:t>
            </w:r>
          </w:p>
        </w:tc>
        <w:tc>
          <w:tcPr/>
          <w:p>
            <w:pPr>
              <w:pStyle w:val="Compact"/>
            </w:pPr>
            <w:r>
              <w:t xml:space="preserve">Spec’d, ~1–2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Time-range reports +</w:t>
            </w:r>
            <w:r>
              <w:t xml:space="preserve"> </w:t>
            </w:r>
            <w:r>
              <w:rPr>
                <w:b/>
                <w:bCs/>
              </w:rPr>
              <w:t xml:space="preserve">AI report generator</w:t>
            </w:r>
            <w:r>
              <w:t xml:space="preserve"> </w:t>
            </w:r>
            <w:r>
              <w:t xml:space="preserve">with requester signature + company seal</w:t>
            </w:r>
          </w:p>
        </w:tc>
        <w:tc>
          <w:tcPr/>
          <w:p>
            <w:pPr>
              <w:pStyle w:val="Compact"/>
            </w:pPr>
            <w:r>
              <w:t xml:space="preserve">Spec’d, ~2–3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Project-page redesign, media galleries, similarity search, faceted filters</w:t>
            </w:r>
          </w:p>
        </w:tc>
        <w:tc>
          <w:tcPr/>
          <w:p>
            <w:pPr>
              <w:pStyle w:val="Compact"/>
            </w:pPr>
            <w:r>
              <w:t xml:space="preserve">Spec’d, ~2–3 days</w:t>
            </w:r>
          </w:p>
        </w:tc>
      </w:tr>
    </w:tbl>
    <w:bookmarkEnd w:id="12"/>
    <w:bookmarkEnd w:id="13"/>
    <w:bookmarkStart w:id="17" w:name="build-cost"/>
    <w:p>
      <w:pPr>
        <w:pStyle w:val="Heading2"/>
      </w:pPr>
      <w:r>
        <w:t xml:space="preserve">3. Build cost</w:t>
      </w:r>
    </w:p>
    <w:bookmarkStart w:id="14" w:name="actual-cost-basis-internal-only"/>
    <w:p>
      <w:pPr>
        <w:pStyle w:val="Heading3"/>
      </w:pPr>
      <w:r>
        <w:t xml:space="preserve">3.1 Actual cost basis — INTERNAL ONLY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Max subscription</w:t>
            </w:r>
          </w:p>
        </w:tc>
        <w:tc>
          <w:tcPr/>
          <w:p>
            <w:pPr>
              <w:pStyle w:val="Compact"/>
            </w:pPr>
            <w:r>
              <w:t xml:space="preserve">~2 weeks of AI-driven development</w:t>
            </w:r>
          </w:p>
        </w:tc>
        <w:tc>
          <w:tcPr/>
          <w:p>
            <w:pPr>
              <w:pStyle w:val="Compact"/>
            </w:pPr>
            <w:r>
              <w:t xml:space="preserve">~US$100–200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time</w:t>
            </w:r>
          </w:p>
        </w:tc>
        <w:tc>
          <w:tcPr/>
          <w:p>
            <w:pPr>
              <w:pStyle w:val="Compact"/>
            </w:pPr>
            <w:r>
              <w:t xml:space="preserve">~12 working days of product direction at DR senior-PM salary equivalent</w:t>
            </w:r>
          </w:p>
        </w:tc>
        <w:tc>
          <w:tcPr/>
          <w:p>
            <w:pPr>
              <w:pStyle w:val="Compact"/>
            </w:pPr>
            <w:r>
              <w:t xml:space="preserve">~US$1,400–2,000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during build</w:t>
            </w:r>
          </w:p>
        </w:tc>
        <w:tc>
          <w:tcPr/>
          <w:p>
            <w:pPr>
              <w:pStyle w:val="Compact"/>
            </w:pPr>
            <w:r>
              <w:t xml:space="preserve">Free tiers</w:t>
            </w:r>
          </w:p>
        </w:tc>
        <w:tc>
          <w:tcPr/>
          <w:p>
            <w:pPr>
              <w:pStyle w:val="Compact"/>
            </w:pPr>
            <w:r>
              <w:t xml:space="preserve">~US$0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 basis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US$1,500–2,200</w:t>
            </w:r>
          </w:p>
        </w:tc>
      </w:tr>
    </w:tbl>
    <w:p>
      <w:pPr>
        <w:pStyle w:val="BodyText"/>
      </w:pPr>
      <w:r>
        <w:t xml:space="preserve">This 20–80× gap between production cost and replacement cost is the owner’s captured arbitrage;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basis for pricing — replacement cost is.</w:t>
      </w:r>
    </w:p>
    <w:bookmarkEnd w:id="14"/>
    <w:bookmarkStart w:id="15" w:name="replacement-cost"/>
    <w:p>
      <w:pPr>
        <w:pStyle w:val="Heading3"/>
      </w:pPr>
      <w:r>
        <w:t xml:space="preserve">3.2 Replacement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Team / duration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Time to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DR team</w:t>
            </w:r>
          </w:p>
        </w:tc>
        <w:tc>
          <w:tcPr/>
          <w:p>
            <w:pPr>
              <w:pStyle w:val="Compact"/>
            </w:pPr>
            <w:r>
              <w:t xml:space="preserve">1 senior + 1 mid, 4–6 months</w:t>
            </w:r>
          </w:p>
        </w:tc>
        <w:tc>
          <w:tcPr/>
          <w:p>
            <w:pPr>
              <w:pStyle w:val="Compact"/>
            </w:pPr>
            <w:r>
              <w:t xml:space="preserve">US$25,000–45,000</w:t>
            </w:r>
          </w:p>
        </w:tc>
        <w:tc>
          <w:tcPr/>
          <w:p>
            <w:pPr>
              <w:pStyle w:val="Compact"/>
            </w:pPr>
            <w:r>
              <w:t xml:space="preserve">4–6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Nearshore/LatAm agency</w:t>
            </w:r>
          </w:p>
        </w:tc>
        <w:tc>
          <w:tcPr/>
          <w:p>
            <w:pPr>
              <w:pStyle w:val="Compact"/>
            </w:pPr>
            <w:r>
              <w:t xml:space="preserve">quoted vs. spec</w:t>
            </w:r>
          </w:p>
        </w:tc>
        <w:tc>
          <w:tcPr/>
          <w:p>
            <w:pPr>
              <w:pStyle w:val="Compact"/>
            </w:pPr>
            <w:r>
              <w:t xml:space="preserve">US$50,000–90,000</w:t>
            </w:r>
          </w:p>
        </w:tc>
        <w:tc>
          <w:tcPr/>
          <w:p>
            <w:pPr>
              <w:pStyle w:val="Compact"/>
            </w:pPr>
            <w:r>
              <w:t xml:space="preserve">4–6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agency</w:t>
            </w:r>
          </w:p>
        </w:tc>
        <w:tc>
          <w:tcPr/>
          <w:p>
            <w:pPr>
              <w:pStyle w:val="Compact"/>
            </w:pPr>
            <w:r>
              <w:t xml:space="preserve">same spec</w:t>
            </w:r>
          </w:p>
        </w:tc>
        <w:tc>
          <w:tcPr/>
          <w:p>
            <w:pPr>
              <w:pStyle w:val="Compact"/>
            </w:pPr>
            <w:r>
              <w:t xml:space="preserve">US$100,000–180,000</w:t>
            </w:r>
          </w:p>
        </w:tc>
        <w:tc>
          <w:tcPr/>
          <w:p>
            <w:pPr>
              <w:pStyle w:val="Compact"/>
            </w:pPr>
            <w:r>
              <w:t xml:space="preserve">4–6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Buying Raphel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today</w:t>
            </w:r>
            <w:r>
              <w:t xml:space="preserve">, field-validated</w:t>
            </w:r>
          </w:p>
        </w:tc>
      </w:tr>
    </w:tbl>
    <w:bookmarkEnd w:id="15"/>
    <w:bookmarkStart w:id="16" w:name="asset-sale-valuation"/>
    <w:p>
      <w:pPr>
        <w:pStyle w:val="Heading3"/>
      </w:pPr>
      <w:r>
        <w:t xml:space="preserve">3.3 Asset-sale 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US$55,000–65,000</w:t>
            </w:r>
          </w:p>
        </w:tc>
        <w:tc>
          <w:tcPr/>
          <w:p>
            <w:pPr>
              <w:pStyle w:val="Compact"/>
            </w:pPr>
            <w:r>
              <w:t xml:space="preserve">Below the credible nearshore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close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US$40,000–50,000</w:t>
            </w:r>
          </w:p>
        </w:tc>
        <w:tc>
          <w:tcPr/>
          <w:p>
            <w:pPr>
              <w:pStyle w:val="Compact"/>
            </w:pPr>
            <w:r>
              <w:t xml:space="preserve">Defensible against any agency 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US$28,000–30,000</w:t>
            </w:r>
          </w:p>
        </w:tc>
        <w:tc>
          <w:tcPr/>
          <w:p>
            <w:pPr>
              <w:pStyle w:val="Compact"/>
            </w:pPr>
            <w:r>
              <w:t xml:space="preserve">Equals cheapest credible local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lever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+US$10,000–15,000</w:t>
            </w:r>
          </w:p>
        </w:tc>
        <w:tc>
          <w:tcPr/>
          <w:p>
            <w:pPr>
              <w:pStyle w:val="Compact"/>
            </w:pPr>
            <w:r>
              <w:t xml:space="preserve">Close after R1+R2 ship (QR + AI reports demo)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for buyer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US$2,500–3,500</w:t>
            </w:r>
            <w:r>
              <w:t xml:space="preserve"> </w:t>
            </w:r>
            <w:r>
              <w:t xml:space="preserve">one-time</w:t>
            </w:r>
          </w:p>
        </w:tc>
        <w:tc>
          <w:tcPr/>
          <w:p>
            <w:pPr>
              <w:pStyle w:val="Compact"/>
            </w:pPr>
            <w:r>
              <w:t xml:space="preserve">Provisioning, migrations, seeding,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retainer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US$500–800/mo</w:t>
            </w:r>
            <w:r>
              <w:t xml:space="preserve">, 6-month minimum</w:t>
            </w:r>
          </w:p>
        </w:tc>
        <w:tc>
          <w:tcPr/>
          <w:p>
            <w:pPr>
              <w:pStyle w:val="Compact"/>
            </w:pPr>
            <w:r>
              <w:t xml:space="preserve">Owner stays as technical operator</w:t>
            </w:r>
          </w:p>
        </w:tc>
      </w:tr>
    </w:tbl>
    <w:bookmarkEnd w:id="16"/>
    <w:bookmarkEnd w:id="17"/>
    <w:bookmarkStart w:id="21" w:name="running-costs-honest-model"/>
    <w:p>
      <w:pPr>
        <w:pStyle w:val="Heading2"/>
      </w:pPr>
      <w:r>
        <w:t xml:space="preserve">4. Running costs (honest model)</w:t>
      </w:r>
    </w:p>
    <w:bookmarkStart w:id="18" w:name="fixed-platform-shared-across-all-clients"/>
    <w:p>
      <w:pPr>
        <w:pStyle w:val="Heading3"/>
      </w:pPr>
      <w:r>
        <w:t xml:space="preserve">4.1 Fixed platform (shared across all clients)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At ~10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(Postgres, backups)</w:t>
            </w:r>
          </w:p>
        </w:tc>
        <w:tc>
          <w:tcPr/>
          <w:p>
            <w:pPr>
              <w:pStyle w:val="Compact"/>
            </w:pPr>
            <w:r>
              <w:t xml:space="preserve">Pro US$25</w:t>
            </w:r>
          </w:p>
        </w:tc>
        <w:tc>
          <w:tcPr/>
          <w:p>
            <w:pPr>
              <w:pStyle w:val="Compact"/>
            </w:pPr>
            <w:r>
              <w:t xml:space="preserve">US$25–75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Netlify (hosting + functions)</w:t>
            </w:r>
          </w:p>
        </w:tc>
        <w:tc>
          <w:tcPr/>
          <w:p>
            <w:pPr>
              <w:pStyle w:val="Compact"/>
            </w:pPr>
            <w:r>
              <w:t xml:space="preserve">US$0</w:t>
            </w:r>
          </w:p>
        </w:tc>
        <w:tc>
          <w:tcPr/>
          <w:p>
            <w:pPr>
              <w:pStyle w:val="Compact"/>
            </w:pPr>
            <w:r>
              <w:t xml:space="preserve">US$19 + bandwidth overages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R2 (storage)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usage-based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(email)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US$0–20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~US$1.50/mo</w:t>
            </w:r>
          </w:p>
        </w:tc>
        <w:tc>
          <w:tcPr/>
          <w:p>
            <w:pPr>
              <w:pStyle w:val="Compact"/>
            </w:pPr>
            <w:r>
              <w:t xml:space="preserve">~US$1.50/mo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Max (ongoing development tooling)</w:t>
            </w:r>
          </w:p>
        </w:tc>
        <w:tc>
          <w:tcPr/>
          <w:p>
            <w:pPr>
              <w:pStyle w:val="Compact"/>
            </w:pPr>
            <w:r>
              <w:t xml:space="preserve">US$100–200</w:t>
            </w:r>
          </w:p>
        </w:tc>
        <w:tc>
          <w:tcPr/>
          <w:p>
            <w:pPr>
              <w:pStyle w:val="Compact"/>
            </w:pPr>
            <w:r>
              <w:t xml:space="preserve">US$100–200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US$30–50/mo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US$150–300/mo</w:t>
            </w:r>
          </w:p>
        </w:tc>
      </w:tr>
    </w:tbl>
    <w:bookmarkEnd w:id="18"/>
    <w:bookmarkStart w:id="19" w:name="marginal-cost-per-client"/>
    <w:p>
      <w:pPr>
        <w:pStyle w:val="Heading3"/>
      </w:pPr>
      <w:r>
        <w:t xml:space="preserve">4.2 Marginal cost per client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2+ (mature)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(accumulating, never shrinks)</w:t>
            </w:r>
          </w:p>
        </w:tc>
        <w:tc>
          <w:tcPr/>
          <w:p>
            <w:pPr>
              <w:pStyle w:val="Compact"/>
            </w:pPr>
            <w:r>
              <w:t xml:space="preserve">US$0.50–1.50</w:t>
            </w:r>
          </w:p>
        </w:tc>
        <w:tc>
          <w:tcPr/>
          <w:p>
            <w:pPr>
              <w:pStyle w:val="Compact"/>
            </w:pPr>
            <w:r>
              <w:t xml:space="preserve">US$3–7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serving (bandwidth/functions)</w:t>
            </w:r>
          </w:p>
        </w:tc>
        <w:tc>
          <w:tcPr/>
          <w:p>
            <w:pPr>
              <w:pStyle w:val="Compact"/>
            </w:pPr>
            <w:r>
              <w:t xml:space="preserve">US$1–3</w:t>
            </w:r>
          </w:p>
        </w:tc>
        <w:tc>
          <w:tcPr/>
          <w:p>
            <w:pPr>
              <w:pStyle w:val="Compact"/>
            </w:pPr>
            <w:r>
              <w:t xml:space="preserve">US$5–12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reports (context grows with obra history)</w:t>
            </w:r>
          </w:p>
        </w:tc>
        <w:tc>
          <w:tcPr/>
          <w:p>
            <w:pPr>
              <w:pStyle w:val="Compact"/>
            </w:pPr>
            <w:r>
              <w:t xml:space="preserve">US$3–4</w:t>
            </w:r>
          </w:p>
        </w:tc>
        <w:tc>
          <w:tcPr/>
          <w:p>
            <w:pPr>
              <w:pStyle w:val="Compact"/>
            </w:pPr>
            <w:r>
              <w:t xml:space="preserve">US$6–15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/ DB share</w:t>
            </w:r>
          </w:p>
        </w:tc>
        <w:tc>
          <w:tcPr/>
          <w:p>
            <w:pPr>
              <w:pStyle w:val="Compact"/>
            </w:pPr>
            <w:r>
              <w:t xml:space="preserve">~US$0</w:t>
            </w:r>
          </w:p>
        </w:tc>
        <w:tc>
          <w:tcPr/>
          <w:p>
            <w:pPr>
              <w:pStyle w:val="Compact"/>
            </w:pPr>
            <w:r>
              <w:t xml:space="preserve">US$1–2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 (~3.5%)</w:t>
            </w:r>
          </w:p>
        </w:tc>
        <w:tc>
          <w:tcPr/>
          <w:p>
            <w:pPr>
              <w:pStyle w:val="Compact"/>
            </w:pPr>
            <w:r>
              <w:t xml:space="preserve">US$5–12</w:t>
            </w:r>
          </w:p>
        </w:tc>
        <w:tc>
          <w:tcPr/>
          <w:p>
            <w:pPr>
              <w:pStyle w:val="Compact"/>
            </w:pPr>
            <w:r>
              <w:t xml:space="preserve">US$5–20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+ maintenance allocation (~20% of revenue)</w:t>
            </w:r>
          </w:p>
        </w:tc>
        <w:tc>
          <w:tcPr/>
          <w:p>
            <w:pPr>
              <w:pStyle w:val="Compact"/>
            </w:pPr>
            <w:r>
              <w:t xml:space="preserve">US$30–70</w:t>
            </w:r>
          </w:p>
        </w:tc>
        <w:tc>
          <w:tcPr/>
          <w:p>
            <w:pPr>
              <w:pStyle w:val="Compact"/>
            </w:pPr>
            <w:r>
              <w:t xml:space="preserve">US$30–90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Fully-loaded per 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US$40–90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US$50–135</w:t>
            </w:r>
          </w:p>
        </w:tc>
      </w:tr>
    </w:tbl>
    <w:bookmarkEnd w:id="19"/>
    <w:bookmarkStart w:id="20" w:name="cost-growth-drivers"/>
    <w:p>
      <w:pPr>
        <w:pStyle w:val="Heading3"/>
      </w:pPr>
      <w:r>
        <w:t xml:space="preserve">4.3 Cost-growth drivers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 ratchet</w:t>
      </w:r>
      <w:r>
        <w:t xml:space="preserve"> </w:t>
      </w:r>
      <w:r>
        <w:t xml:space="preserve">— evidence retention is the product promise; storage only grows. Priced via plan caps + US$0.10/GB/mo overage.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context growth</w:t>
      </w:r>
      <w:r>
        <w:t xml:space="preserve"> </w:t>
      </w:r>
      <w:r>
        <w:t xml:space="preserve">— older obras mean bigger prompts (US$0.14 → US$0.50–1.30 per report); mitigated by date-range scoping and a cheaper-model toggle.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Media-through-functions</w:t>
      </w:r>
      <w:r>
        <w:t xml:space="preserve"> </w:t>
      </w:r>
      <w:r>
        <w:t xml:space="preserve">— largest controllable cost; a ~1-day engineering change (signed direct-download URLs) nearly eliminates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price/feature drift</w:t>
      </w:r>
      <w:r>
        <w:t xml:space="preserve"> </w:t>
      </w:r>
      <w:r>
        <w:t xml:space="preserve">— protected contractually by the annual escalator clause and metered overages.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ITBIS (18%)</w:t>
      </w:r>
      <w:r>
        <w:t xml:space="preserve"> </w:t>
      </w:r>
      <w:r>
        <w:t xml:space="preserve">— charged on top, never absorbed.</w:t>
      </w:r>
    </w:p>
    <w:bookmarkEnd w:id="20"/>
    <w:bookmarkEnd w:id="21"/>
    <w:bookmarkStart w:id="25" w:name="commercial-model"/>
    <w:p>
      <w:pPr>
        <w:pStyle w:val="Heading2"/>
      </w:pPr>
      <w:r>
        <w:t xml:space="preserve">5. Commercial model</w:t>
      </w:r>
    </w:p>
    <w:bookmarkStart w:id="22" w:name="X01be797952c4c12531cd161135898ea982620b6"/>
    <w:p>
      <w:pPr>
        <w:pStyle w:val="Heading3"/>
      </w:pPr>
      <w:r>
        <w:t xml:space="preserve">5.1 Pricing (per company, per month, + ITBIS; annual prepay = 2 months 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OBRA</w:t>
            </w:r>
          </w:p>
        </w:tc>
        <w:tc>
          <w:tcPr/>
          <w:p>
            <w:pPr>
              <w:pStyle w:val="Compact"/>
            </w:pPr>
            <w:r>
              <w:t xml:space="preserve">CONSTRUCTORA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US$149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obras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reports/month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cap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100 GB</w:t>
            </w:r>
          </w:p>
        </w:tc>
        <w:tc>
          <w:tcPr/>
          <w:p>
            <w:pPr>
              <w:pStyle w:val="Compact"/>
            </w:pPr>
            <w:r>
              <w:t xml:space="preserve">300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(one-time)</w:t>
            </w:r>
          </w:p>
        </w:tc>
        <w:tc>
          <w:tcPr/>
          <w:p>
            <w:pPr>
              <w:pStyle w:val="Compact"/>
            </w:pPr>
            <w:r>
              <w:t xml:space="preserve">US$500</w:t>
            </w:r>
          </w:p>
        </w:tc>
        <w:tc>
          <w:tcPr/>
          <w:p>
            <w:pPr>
              <w:pStyle w:val="Compact"/>
            </w:pPr>
            <w:r>
              <w:t xml:space="preserve">US$750</w:t>
            </w:r>
          </w:p>
        </w:tc>
        <w:tc>
          <w:tcPr/>
          <w:p>
            <w:pPr>
              <w:pStyle w:val="Compact"/>
            </w:pPr>
            <w:r>
              <w:t xml:space="preserve">US$1,200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Overages:</w:t>
      </w:r>
      <w:r>
        <w:t xml:space="preserve"> </w:t>
      </w:r>
      <w:r>
        <w:t xml:space="preserve">AI report US$2.50 · storage US$0.10/GB/mo · user US$5/mo · extra obra US$25/mo.</w:t>
      </w:r>
      <w:r>
        <w:t xml:space="preserve"> </w:t>
      </w:r>
      <w:r>
        <w:rPr>
          <w:b/>
          <w:bCs/>
        </w:rPr>
        <w:t xml:space="preserve">Contract protections:</w:t>
      </w:r>
      <w:r>
        <w:t xml:space="preserve"> </w:t>
      </w:r>
      <w:r>
        <w:t xml:space="preserve">prices +ITBIS; annual adjustment up to 10% or inflation (60-day notice); fair-use clause.</w:t>
      </w:r>
    </w:p>
    <w:bookmarkEnd w:id="22"/>
    <w:bookmarkStart w:id="23" w:name="X1608b6f45a0c691d4370c394fd8e017229f1be1"/>
    <w:p>
      <w:pPr>
        <w:pStyle w:val="Heading3"/>
      </w:pPr>
      <w:r>
        <w:t xml:space="preserve">5.2 Margins at fully-loaded cost — INTERNAL ONLY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Mature COGS</w:t>
            </w:r>
          </w:p>
        </w:tc>
        <w:tc>
          <w:tcPr/>
          <w:p>
            <w:pPr>
              <w:pStyle w:val="Compact"/>
            </w:pPr>
            <w:r>
              <w:t xml:space="preserve">Net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Obra</w:t>
            </w:r>
          </w:p>
        </w:tc>
        <w:tc>
          <w:tcPr/>
          <w:p>
            <w:pPr>
              <w:pStyle w:val="Compact"/>
            </w:pPr>
            <w:r>
              <w:t xml:space="preserve">US$149</w:t>
            </w:r>
          </w:p>
        </w:tc>
        <w:tc>
          <w:tcPr/>
          <w:p>
            <w:pPr>
              <w:pStyle w:val="Compact"/>
            </w:pPr>
            <w:r>
              <w:t xml:space="preserve">~US$50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Constructora</w:t>
            </w:r>
          </w:p>
        </w:tc>
        <w:tc>
          <w:tcPr/>
          <w:p>
            <w:pPr>
              <w:pStyle w:val="Compact"/>
            </w:pPr>
            <w:r>
              <w:t xml:space="preserve">US$349</w:t>
            </w:r>
          </w:p>
        </w:tc>
        <w:tc>
          <w:tcPr/>
          <w:p>
            <w:pPr>
              <w:pStyle w:val="Compact"/>
            </w:pPr>
            <w:r>
              <w:t xml:space="preserve">~US$80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US$599</w:t>
            </w:r>
          </w:p>
        </w:tc>
        <w:tc>
          <w:tcPr/>
          <w:p>
            <w:pPr>
              <w:pStyle w:val="Compact"/>
            </w:pPr>
            <w:r>
              <w:t xml:space="preserve">~US$135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~77%</w:t>
            </w:r>
          </w:p>
        </w:tc>
      </w:tr>
    </w:tbl>
    <w:p>
      <w:pPr>
        <w:pStyle w:val="BodyText"/>
      </w:pPr>
      <w:r>
        <w:t xml:space="preserve">Context: imported alternatives (Procore/Autodesk class) run US$375–thousands per month. Raphel undercuts them 5–10× while remaining a healthy software business.</w:t>
      </w:r>
    </w:p>
    <w:bookmarkEnd w:id="23"/>
    <w:bookmarkStart w:id="24" w:name="twelve-month-revenue-scenarios"/>
    <w:p>
      <w:pPr>
        <w:pStyle w:val="Heading3"/>
      </w:pPr>
      <w:r>
        <w:t xml:space="preserve">5.3 Twelve-month revenue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Clients (mix)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+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4 (3 Obra, 1 Constructora)</w:t>
            </w:r>
          </w:p>
        </w:tc>
        <w:tc>
          <w:tcPr/>
          <w:p>
            <w:pPr>
              <w:pStyle w:val="Compact"/>
            </w:pPr>
            <w:r>
              <w:t xml:space="preserve">~US$800</w:t>
            </w:r>
          </w:p>
        </w:tc>
        <w:tc>
          <w:tcPr/>
          <w:p>
            <w:pPr>
              <w:pStyle w:val="Compact"/>
            </w:pPr>
            <w:r>
              <w:t xml:space="preserve">~US$9.5K</w:t>
            </w:r>
          </w:p>
        </w:tc>
        <w:tc>
          <w:tcPr/>
          <w:p>
            <w:pPr>
              <w:pStyle w:val="Compact"/>
            </w:pPr>
            <w:r>
              <w:t xml:space="preserve">~US$2.3K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10 (4 Obra, 5 Constructora, 1 Empresa)</w:t>
            </w:r>
          </w:p>
        </w:tc>
        <w:tc>
          <w:tcPr/>
          <w:p>
            <w:pPr>
              <w:pStyle w:val="Compact"/>
            </w:pPr>
            <w:r>
              <w:t xml:space="preserve">~US$2,940</w:t>
            </w:r>
          </w:p>
        </w:tc>
        <w:tc>
          <w:tcPr/>
          <w:p>
            <w:pPr>
              <w:pStyle w:val="Compact"/>
            </w:pPr>
            <w:r>
              <w:t xml:space="preserve">~US$35K</w:t>
            </w:r>
          </w:p>
        </w:tc>
        <w:tc>
          <w:tcPr/>
          <w:p>
            <w:pPr>
              <w:pStyle w:val="Compact"/>
            </w:pPr>
            <w:r>
              <w:t xml:space="preserve">~US$7.2K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20 (6 Obra, 11 Constructora, 3 Empresa)</w:t>
            </w:r>
          </w:p>
        </w:tc>
        <w:tc>
          <w:tcPr/>
          <w:p>
            <w:pPr>
              <w:pStyle w:val="Compact"/>
            </w:pPr>
            <w:r>
              <w:t xml:space="preserve">~US$6,530</w:t>
            </w:r>
          </w:p>
        </w:tc>
        <w:tc>
          <w:tcPr/>
          <w:p>
            <w:pPr>
              <w:pStyle w:val="Compact"/>
            </w:pPr>
            <w:r>
              <w:t xml:space="preserve">~US$78K</w:t>
            </w:r>
          </w:p>
        </w:tc>
        <w:tc>
          <w:tcPr/>
          <w:p>
            <w:pPr>
              <w:pStyle w:val="Compact"/>
            </w:pPr>
            <w:r>
              <w:t xml:space="preserve">~US$15K</w:t>
            </w:r>
          </w:p>
        </w:tc>
      </w:tr>
    </w:tbl>
    <w:p>
      <w:pPr>
        <w:pStyle w:val="BodyText"/>
      </w:pPr>
      <w:r>
        <w:t xml:space="preserve">Fixed costs at any of these scales stay under US$300/mo — profitable from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client.</w:t>
      </w:r>
    </w:p>
    <w:bookmarkEnd w:id="24"/>
    <w:bookmarkEnd w:id="25"/>
    <w:bookmarkStart w:id="26" w:name="monetization-paths-compared"/>
    <w:p>
      <w:pPr>
        <w:pStyle w:val="Heading2"/>
      </w:pPr>
      <w:r>
        <w:t xml:space="preserve">6. Monetization paths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Year-1 cash</w:t>
            </w:r>
          </w:p>
        </w:tc>
        <w:tc>
          <w:tcPr/>
          <w:p>
            <w:pPr>
              <w:pStyle w:val="Compact"/>
            </w:pPr>
            <w:r>
              <w:t xml:space="preserve">3-year value</w:t>
            </w:r>
          </w:p>
        </w:tc>
        <w:tc>
          <w:tcPr/>
          <w:p>
            <w:pPr>
              <w:pStyle w:val="Compact"/>
            </w:pPr>
            <w:r>
              <w:t xml:space="preserve">Owner’s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Asset sale now</w:t>
            </w:r>
          </w:p>
        </w:tc>
        <w:tc>
          <w:tcPr/>
          <w:p>
            <w:pPr>
              <w:pStyle w:val="Compact"/>
            </w:pPr>
            <w:r>
              <w:t xml:space="preserve">US$40–65K + setup + retainer</w:t>
            </w:r>
          </w:p>
        </w:tc>
        <w:tc>
          <w:tcPr/>
          <w:p>
            <w:pPr>
              <w:pStyle w:val="Compact"/>
            </w:pPr>
            <w:r>
              <w:t xml:space="preserve">~US$50–70K total, done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License (SaaS)</w:t>
            </w:r>
          </w:p>
        </w:tc>
        <w:tc>
          <w:tcPr/>
          <w:p>
            <w:pPr>
              <w:pStyle w:val="Compact"/>
            </w:pPr>
            <w:r>
              <w:t xml:space="preserve">US$10–35K building 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US$125–170K+ asset</w:t>
            </w:r>
            <w:r>
              <w:t xml:space="preserve"> </w:t>
            </w:r>
            <w:r>
              <w:t xml:space="preserve">(3–4× ARR, base case) and still owned</w:t>
            </w:r>
          </w:p>
        </w:tc>
        <w:tc>
          <w:tcPr/>
          <w:p>
            <w:pPr>
              <w:pStyle w:val="Compact"/>
            </w:pPr>
            <w:r>
              <w:t xml:space="preserve">Owner-operator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Hybrid</w:t>
            </w:r>
          </w:p>
        </w:tc>
        <w:tc>
          <w:tcPr/>
          <w:p>
            <w:pPr>
              <w:pStyle w:val="Compact"/>
            </w:pPr>
            <w:r>
              <w:t xml:space="preserve">US$30–40K (majority stake)</w:t>
            </w:r>
          </w:p>
        </w:tc>
        <w:tc>
          <w:tcPr/>
          <w:p>
            <w:pPr>
              <w:pStyle w:val="Compact"/>
            </w:pPr>
            <w:r>
              <w:t xml:space="preserve">sale + retainer + 15–25% upside</w:t>
            </w:r>
          </w:p>
        </w:tc>
        <w:tc>
          <w:tcPr/>
          <w:p>
            <w:pPr>
              <w:pStyle w:val="Compact"/>
            </w:pPr>
            <w:r>
              <w:t xml:space="preserve">Partner/operator</w:t>
            </w:r>
          </w:p>
        </w:tc>
      </w:tr>
    </w:tbl>
    <w:p>
      <w:pPr>
        <w:pStyle w:val="BodyText"/>
      </w:pPr>
      <w:r>
        <w:t xml:space="preserve">Buyer-type guide: a construction company wanting it internally → A or C at the top of the range. A software house wanting to resell → they intend B for themselves; price accordingly (US$60K+) or insist on C.</w:t>
      </w:r>
    </w:p>
    <w:p>
      <w:pPr>
        <w:pStyle w:val="BodyText"/>
      </w:pPr>
      <w:r>
        <w:rPr>
          <w:b/>
          <w:bCs/>
        </w:rPr>
        <w:t xml:space="preserve">Negotiation guardrails:</w:t>
      </w:r>
      <w:r>
        <w:t xml:space="preserve"> </w:t>
      </w:r>
      <w:r>
        <w:t xml:space="preserve">never waive onboarding fees; discount with free months, not lower list price; every signed client before a sale moves the valuation from replacement-cost logic to revenue-multiple logic.</w:t>
      </w:r>
    </w:p>
    <w:bookmarkEnd w:id="26"/>
    <w:bookmarkStart w:id="27" w:name="risks-disclose-honestly-in-diligence"/>
    <w:p>
      <w:pPr>
        <w:pStyle w:val="Heading2"/>
      </w:pPr>
      <w:r>
        <w:t xml:space="preserve">7. Risks (disclose honestly in diligence)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Pre-revenue</w:t>
      </w:r>
      <w:r>
        <w:t xml:space="preserve"> </w:t>
      </w:r>
      <w:r>
        <w:t xml:space="preserve">as of this writing; validation is qualitative (one practicing architect driving two structured feedback rounds).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Key-person:</w:t>
      </w:r>
      <w:r>
        <w:t xml:space="preserve"> </w:t>
      </w:r>
      <w:r>
        <w:t xml:space="preserve">owner is the sole operator; mitigated by documentation discipline and the retainer structure.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 dependencies:</w:t>
      </w:r>
      <w:r>
        <w:t xml:space="preserve"> </w:t>
      </w:r>
      <w:r>
        <w:t xml:space="preserve">Netlify, Supabase, Cloudflare, Anthropic — all substitutable, but migrations cost effort.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Legal positioning:</w:t>
      </w:r>
      <w:r>
        <w:t xml:space="preserve"> </w:t>
      </w:r>
      <w:r>
        <w:t xml:space="preserve">the immutability chain is strong evidence, but formal Ley 126-02 digital-signature certification requires a certified provider — spec’d as a deferred feature, priced separately when demanded.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a product marketed as legal evidence should eventually carry E&amp;O insurance and reviewed terms of service.</w:t>
      </w:r>
    </w:p>
    <w:bookmarkEnd w:id="27"/>
    <w:bookmarkStart w:id="28" w:name="one-line-positions"/>
    <w:p>
      <w:pPr>
        <w:pStyle w:val="Heading2"/>
      </w:pPr>
      <w:r>
        <w:t xml:space="preserve">8. One-line positions</w:t>
      </w:r>
    </w:p>
    <w:p>
      <w:pPr>
        <w:pStyle w:val="FirstParagraph"/>
      </w:pPr>
      <w:r>
        <w:rPr>
          <w:b/>
          <w:bCs/>
        </w:rPr>
        <w:t xml:space="preserve">To a buyer:</w:t>
      </w:r>
      <w:r>
        <w:t xml:space="preserve"> </w:t>
      </w:r>
      <w:r>
        <w:rPr>
          <w:i/>
          <w:iCs/>
        </w:rPr>
        <w:t xml:space="preserve">“Operational today, validated in the field, US$35–75/month to run, ~US$0.14 per AI report, US$100K+ to rebuild — asking US$55K with installation, training, and six months of support at US$3K + US$650/month.”</w:t>
      </w:r>
    </w:p>
    <w:p>
      <w:pPr>
        <w:pStyle w:val="BodyText"/>
      </w:pPr>
      <w:r>
        <w:rPr>
          <w:b/>
          <w:bCs/>
        </w:rPr>
        <w:t xml:space="preserve">To a client:</w:t>
      </w:r>
      <w:r>
        <w:t xml:space="preserve"> </w:t>
      </w:r>
      <w:r>
        <w:rPr>
          <w:i/>
          <w:iCs/>
        </w:rPr>
        <w:t xml:space="preserve">“Por menos de lo que cuesta un día de retraso, cada decisión de tu obra queda registrada para siempre.”</w:t>
      </w:r>
    </w:p>
    <w:bookmarkEnd w:id="28"/>
    <w:bookmarkEnd w:id="29"/>
    <w:bookmarkStart w:id="50" w:name="parte-ii-versión-en-español"/>
    <w:p>
      <w:pPr>
        <w:pStyle w:val="Heading1"/>
      </w:pPr>
      <w:r>
        <w:t xml:space="preserve">PARTE II — VERSIÓN EN ESPAÑOL</w:t>
      </w:r>
    </w:p>
    <w:p>
      <w:pPr>
        <w:pStyle w:val="FirstParagraph"/>
      </w:pPr>
      <w:r>
        <w:rPr>
          <w:b/>
          <w:bCs/>
        </w:rPr>
        <w:t xml:space="preserve">Clasificación: INTERNO.</w:t>
      </w:r>
      <w:r>
        <w:t xml:space="preserve"> </w:t>
      </w:r>
      <w:r>
        <w:t xml:space="preserve">Este documento contiene base de costos y márgenes. Las secciones 2, 4.1, 5 y 6 pueden compartirse con compradores;</w:t>
      </w:r>
      <w:r>
        <w:t xml:space="preserve"> </w:t>
      </w:r>
      <w:r>
        <w:rPr>
          <w:b/>
          <w:bCs/>
        </w:rPr>
        <w:t xml:space="preserve">nunca compartir la sección 3.1 (base de costos) ni las tablas de márgenes</w:t>
      </w:r>
      <w:r>
        <w:t xml:space="preserve"> </w:t>
      </w:r>
      <w:r>
        <w:t xml:space="preserve">— son su palanca de negociación. La oferta para clientes es la propuesta comercial separada.</w:t>
      </w:r>
    </w:p>
    <w:bookmarkStart w:id="3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Raphel es un SaaS multiempresa, operativo hoy, para la gestión de obras de construcción en la República Dominicana — una bitácora digital inalterable con orientación legal (</w:t>
      </w:r>
      <w:r>
        <w:t xml:space="preserve">“la caja negra de tu obra”</w:t>
      </w:r>
      <w:r>
        <w:t xml:space="preserve">), captura de campo sin señal, flujo de solicitudes de cambio e informes generados con Inteligencia Artificial. Se produjo por</w:t>
      </w:r>
      <w:r>
        <w:t xml:space="preserve"> </w:t>
      </w:r>
      <w:r>
        <w:rPr>
          <w:b/>
          <w:bCs/>
        </w:rPr>
        <w:t xml:space="preserve">menos de US$2,500</w:t>
      </w:r>
      <w:r>
        <w:t xml:space="preserve"> </w:t>
      </w:r>
      <w:r>
        <w:t xml:space="preserve">de costo directo, a un comprador le costaría</w:t>
      </w:r>
      <w:r>
        <w:t xml:space="preserve"> </w:t>
      </w:r>
      <w:r>
        <w:rPr>
          <w:b/>
          <w:bCs/>
        </w:rPr>
        <w:t xml:space="preserve">US$25,000–180,000 replicarlo</w:t>
      </w:r>
      <w:r>
        <w:t xml:space="preserve">, opera hoy con</w:t>
      </w:r>
      <w:r>
        <w:t xml:space="preserve"> </w:t>
      </w:r>
      <w:r>
        <w:rPr>
          <w:b/>
          <w:bCs/>
        </w:rPr>
        <w:t xml:space="preserve">US$30–50/mes</w:t>
      </w:r>
      <w:r>
        <w:t xml:space="preserve"> </w:t>
      </w:r>
      <w:r>
        <w:t xml:space="preserve">de infraestructura, y sostiene un modelo de suscripción con</w:t>
      </w:r>
      <w:r>
        <w:t xml:space="preserve"> </w:t>
      </w:r>
      <w:r>
        <w:rPr>
          <w:b/>
          <w:bCs/>
        </w:rPr>
        <w:t xml:space="preserve">márgenes netos del 66–77%</w:t>
      </w:r>
      <w:r>
        <w:t xml:space="preserve"> </w:t>
      </w:r>
      <w:r>
        <w:t xml:space="preserve">sobre costos honestos y completos.</w:t>
      </w:r>
    </w:p>
    <w:p>
      <w:pPr>
        <w:pStyle w:val="BodyText"/>
      </w:pPr>
      <w:r>
        <w:t xml:space="preserve">Tres vías de monetización, en valor ascendente: vender el activo ahora (</w:t>
      </w:r>
      <w:r>
        <w:rPr>
          <w:b/>
          <w:bCs/>
        </w:rPr>
        <w:t xml:space="preserve">US$40–65 mil</w:t>
      </w:r>
      <w:r>
        <w:t xml:space="preserve">), licenciarlo a constructoras (</w:t>
      </w:r>
      <w:r>
        <w:rPr>
          <w:b/>
          <w:bCs/>
        </w:rPr>
        <w:t xml:space="preserve">~US$42 mil ARR con 10 clientes → activo de US$125–170 mil</w:t>
      </w:r>
      <w:r>
        <w:t xml:space="preserve">), o híbrido (venta mayoritaria + participación retenida + contrato de operador).</w:t>
      </w:r>
    </w:p>
    <w:bookmarkEnd w:id="30"/>
    <w:bookmarkStart w:id="34" w:name="el-activo"/>
    <w:p>
      <w:pPr>
        <w:pStyle w:val="Heading2"/>
      </w:pPr>
      <w:r>
        <w:t xml:space="preserve">2. El activo</w:t>
      </w:r>
    </w:p>
    <w:bookmarkStart w:id="31" w:name="producto-operativo-hoy"/>
    <w:p>
      <w:pPr>
        <w:pStyle w:val="Heading3"/>
      </w:pPr>
      <w:r>
        <w:t xml:space="preserve">2.1 Producto (operativo hoy)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inalterable</w:t>
      </w:r>
      <w:r>
        <w:t xml:space="preserve"> </w:t>
      </w:r>
      <w:r>
        <w:t xml:space="preserve">— cada entrada de campo queda sellada con hora del servidor, GPS y una cadena criptográfica de verificación; verificable en un clic. Es el núcleo de evidencia legal y el componente más difícil de replicar.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PWA offline-first</w:t>
      </w:r>
      <w:r>
        <w:t xml:space="preserve"> </w:t>
      </w:r>
      <w:r>
        <w:t xml:space="preserve">— captura completa sin señal (cola local, sincronización en segundo plano, deduplicación idempotente en el servidor). El segundo componente más difícil de replicar.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Multiempresa + control de acceso de 4 roles</w:t>
      </w:r>
      <w:r>
        <w:t xml:space="preserve"> </w:t>
      </w:r>
      <w:r>
        <w:t xml:space="preserve">— Administrador / Gerente / Supervisor / Residente, asignaciones por obra, verificado del lado del servidor en cada consulta.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Solicitudes de cambio</w:t>
      </w:r>
      <w:r>
        <w:t xml:space="preserve"> </w:t>
      </w:r>
      <w:r>
        <w:t xml:space="preserve">— flujo de aprobación con recordatorios obligatorios, feedback obligatorio al cierre, sellos criptográficos y marcadores propagados a las partidas afectadas.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Estructura Obras → Bloques → Partidas</w:t>
      </w:r>
      <w:r>
        <w:t xml:space="preserve"> </w:t>
      </w:r>
      <w:r>
        <w:t xml:space="preserve">con espacios por bloque (Cuaderno, Planos, Levantamientos, Ideas, Media, Recordatorios, Indicadores), etiquetas, papelera de reciclaje y registro de auditoría completo.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Notificaciones, analítica por fases, reportes PDF, interfaz ES/EN, modo oscuro.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Endurecimiento de seguridad</w:t>
      </w:r>
      <w:r>
        <w:t xml:space="preserve"> </w:t>
      </w:r>
      <w:r>
        <w:t xml:space="preserve">(auditoría independiente): revocación de sesiones, límite de intentos de acceso, bloqueos de escritura del registro, sanitización de PDF, topes de subida, multiempresa verificado a prueba de fallos.</w:t>
      </w:r>
    </w:p>
    <w:bookmarkEnd w:id="31"/>
    <w:bookmarkStart w:id="32" w:name="señales-de-calidad-de-ingeniería"/>
    <w:p>
      <w:pPr>
        <w:pStyle w:val="Heading3"/>
      </w:pPr>
      <w:r>
        <w:t xml:space="preserve">2.2 Señales de calidad de ingeniería</w:t>
      </w:r>
    </w:p>
    <w:p>
      <w:pPr>
        <w:pStyle w:val="Compact"/>
        <w:numPr>
          <w:ilvl w:val="0"/>
          <w:numId w:val="1006"/>
        </w:numPr>
      </w:pPr>
      <w:r>
        <w:t xml:space="preserve">226 pruebas automatizadas en 53 archivos, en verde; análisis estático limpio; CI con pruebas contra base de datos real.</w:t>
      </w:r>
    </w:p>
    <w:p>
      <w:pPr>
        <w:pStyle w:val="Compact"/>
        <w:numPr>
          <w:ilvl w:val="0"/>
          <w:numId w:val="1006"/>
        </w:numPr>
      </w:pPr>
      <w:r>
        <w:t xml:space="preserve">Configuración de despliegue a producción (Netlify + Supabase + Cloudflare R2 + Resend), pipeline de migraciones.</w:t>
      </w:r>
    </w:p>
    <w:p>
      <w:pPr>
        <w:pStyle w:val="Compact"/>
        <w:numPr>
          <w:ilvl w:val="0"/>
          <w:numId w:val="1006"/>
        </w:numPr>
      </w:pPr>
      <w:r>
        <w:t xml:space="preserve">Historial completo de especificaciones (8 documentos de diseño) y hoja de ruta de 4 rondas, con una ya entregada.</w:t>
      </w:r>
    </w:p>
    <w:bookmarkEnd w:id="32"/>
    <w:bookmarkStart w:id="33" w:name="hoja-de-ruta"/>
    <w:p>
      <w:pPr>
        <w:pStyle w:val="Heading3"/>
      </w:pPr>
      <w:r>
        <w:t xml:space="preserve">2.3 Hoja de ruta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Ronda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t xml:space="preserve">Renombre, etiquetas, correcciones de permisos, endurecimiento de cambios, notificaciones de borrado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Entregada 2026-06-11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Fotos de portada,</w:t>
            </w:r>
            <w:r>
              <w:t xml:space="preserve"> </w:t>
            </w:r>
            <w:r>
              <w:rPr>
                <w:b/>
                <w:bCs/>
              </w:rPr>
              <w:t xml:space="preserve">Código de Registro Único + certificación QR</w:t>
            </w:r>
            <w:r>
              <w:t xml:space="preserve">, perfiles del equipo, sello de la compañía</w:t>
            </w:r>
          </w:p>
        </w:tc>
        <w:tc>
          <w:tcPr/>
          <w:p>
            <w:pPr>
              <w:pStyle w:val="Compact"/>
            </w:pPr>
            <w:r>
              <w:t xml:space="preserve">Especificada, ~1–2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Reportes por lapso de tiempo +</w:t>
            </w:r>
            <w:r>
              <w:t xml:space="preserve"> </w:t>
            </w:r>
            <w:r>
              <w:rPr>
                <w:b/>
                <w:bCs/>
              </w:rPr>
              <w:t xml:space="preserve">generador de informes con IA</w:t>
            </w:r>
            <w:r>
              <w:t xml:space="preserve"> </w:t>
            </w:r>
            <w:r>
              <w:t xml:space="preserve">con firma del solicitante + sello</w:t>
            </w:r>
          </w:p>
        </w:tc>
        <w:tc>
          <w:tcPr/>
          <w:p>
            <w:pPr>
              <w:pStyle w:val="Compact"/>
            </w:pPr>
            <w:r>
              <w:t xml:space="preserve">Especificada, ~2–3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Rediseño de la página de obra, galerías de medios, buscador por similitud, filtros</w:t>
            </w:r>
          </w:p>
        </w:tc>
        <w:tc>
          <w:tcPr/>
          <w:p>
            <w:pPr>
              <w:pStyle w:val="Compact"/>
            </w:pPr>
            <w:r>
              <w:t xml:space="preserve">Especificada, ~2–3 días</w:t>
            </w:r>
          </w:p>
        </w:tc>
      </w:tr>
    </w:tbl>
    <w:bookmarkEnd w:id="33"/>
    <w:bookmarkEnd w:id="34"/>
    <w:bookmarkStart w:id="38" w:name="costo-de-construcción"/>
    <w:p>
      <w:pPr>
        <w:pStyle w:val="Heading2"/>
      </w:pPr>
      <w:r>
        <w:t xml:space="preserve">3. Costo de construcción</w:t>
      </w:r>
    </w:p>
    <w:bookmarkStart w:id="35" w:name="base-de-costos-real-solo-interno"/>
    <w:p>
      <w:pPr>
        <w:pStyle w:val="Heading3"/>
      </w:pPr>
      <w:r>
        <w:t xml:space="preserve">3.1 Base de costos real — SOLO INTERNO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Insumo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Suscripción Claude Max</w:t>
            </w:r>
          </w:p>
        </w:tc>
        <w:tc>
          <w:tcPr/>
          <w:p>
            <w:pPr>
              <w:pStyle w:val="Compact"/>
            </w:pPr>
            <w:r>
              <w:t xml:space="preserve">~2 semanas de desarrollo asistido por IA</w:t>
            </w:r>
          </w:p>
        </w:tc>
        <w:tc>
          <w:tcPr/>
          <w:p>
            <w:pPr>
              <w:pStyle w:val="Compact"/>
            </w:pPr>
            <w:r>
              <w:t xml:space="preserve">~US$100–200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del propietario</w:t>
            </w:r>
          </w:p>
        </w:tc>
        <w:tc>
          <w:tcPr/>
          <w:p>
            <w:pPr>
              <w:pStyle w:val="Compact"/>
            </w:pPr>
            <w:r>
              <w:t xml:space="preserve">~12 días laborables de dirección de producto, a salario equivalente de PM senior en RD</w:t>
            </w:r>
          </w:p>
        </w:tc>
        <w:tc>
          <w:tcPr/>
          <w:p>
            <w:pPr>
              <w:pStyle w:val="Compact"/>
            </w:pPr>
            <w:r>
              <w:t xml:space="preserve">~US$1,400–2,000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durante el desarrollo</w:t>
            </w:r>
          </w:p>
        </w:tc>
        <w:tc>
          <w:tcPr/>
          <w:p>
            <w:pPr>
              <w:pStyle w:val="Compact"/>
            </w:pPr>
            <w:r>
              <w:t xml:space="preserve">Planes gratuitos</w:t>
            </w:r>
          </w:p>
        </w:tc>
        <w:tc>
          <w:tcPr/>
          <w:p>
            <w:pPr>
              <w:pStyle w:val="Compact"/>
            </w:pPr>
            <w:r>
              <w:t xml:space="preserve">~US$0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costos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US$1,500–2,200</w:t>
            </w:r>
          </w:p>
        </w:tc>
      </w:tr>
    </w:tbl>
    <w:p>
      <w:pPr>
        <w:pStyle w:val="BodyText"/>
      </w:pPr>
      <w:r>
        <w:t xml:space="preserve">Esta brecha de 20–80× entre costo de producción y costo de reposición es el arbitraje capturado por el propietario;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la base del precio — la base es el costo de reposición.</w:t>
      </w:r>
    </w:p>
    <w:bookmarkEnd w:id="35"/>
    <w:bookmarkStart w:id="36" w:name="costo-de-reposición"/>
    <w:p>
      <w:pPr>
        <w:pStyle w:val="Heading3"/>
      </w:pPr>
      <w:r>
        <w:t xml:space="preserve">3.2 Costo de reposición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Vía</w:t>
            </w:r>
          </w:p>
        </w:tc>
        <w:tc>
          <w:tcPr/>
          <w:p>
            <w:pPr>
              <w:pStyle w:val="Compact"/>
            </w:pPr>
            <w:r>
              <w:t xml:space="preserve">Equipo / duración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Tiempo al mercado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local en RD</w:t>
            </w:r>
          </w:p>
        </w:tc>
        <w:tc>
          <w:tcPr/>
          <w:p>
            <w:pPr>
              <w:pStyle w:val="Compact"/>
            </w:pPr>
            <w:r>
              <w:t xml:space="preserve">1 senior + 1 medio, 4–6 meses</w:t>
            </w:r>
          </w:p>
        </w:tc>
        <w:tc>
          <w:tcPr/>
          <w:p>
            <w:pPr>
              <w:pStyle w:val="Compact"/>
            </w:pPr>
            <w:r>
              <w:t xml:space="preserve">US$25,000–45,000</w:t>
            </w:r>
          </w:p>
        </w:tc>
        <w:tc>
          <w:tcPr/>
          <w:p>
            <w:pPr>
              <w:pStyle w:val="Compact"/>
            </w:pPr>
            <w:r>
              <w:t xml:space="preserve">4–6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Agencia nearshore/LatAm</w:t>
            </w:r>
          </w:p>
        </w:tc>
        <w:tc>
          <w:tcPr/>
          <w:p>
            <w:pPr>
              <w:pStyle w:val="Compact"/>
            </w:pPr>
            <w:r>
              <w:t xml:space="preserve">cotizado contra la especificación</w:t>
            </w:r>
          </w:p>
        </w:tc>
        <w:tc>
          <w:tcPr/>
          <w:p>
            <w:pPr>
              <w:pStyle w:val="Compact"/>
            </w:pPr>
            <w:r>
              <w:t xml:space="preserve">US$50,000–90,000</w:t>
            </w:r>
          </w:p>
        </w:tc>
        <w:tc>
          <w:tcPr/>
          <w:p>
            <w:pPr>
              <w:pStyle w:val="Compact"/>
            </w:pPr>
            <w:r>
              <w:t xml:space="preserve">4–6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Agencia de EE. UU.</w:t>
            </w:r>
          </w:p>
        </w:tc>
        <w:tc>
          <w:tcPr/>
          <w:p>
            <w:pPr>
              <w:pStyle w:val="Compact"/>
            </w:pPr>
            <w:r>
              <w:t xml:space="preserve">misma especificación</w:t>
            </w:r>
          </w:p>
        </w:tc>
        <w:tc>
          <w:tcPr/>
          <w:p>
            <w:pPr>
              <w:pStyle w:val="Compact"/>
            </w:pPr>
            <w:r>
              <w:t xml:space="preserve">US$100,000–180,000</w:t>
            </w:r>
          </w:p>
        </w:tc>
        <w:tc>
          <w:tcPr/>
          <w:p>
            <w:pPr>
              <w:pStyle w:val="Compact"/>
            </w:pPr>
            <w:r>
              <w:t xml:space="preserve">4–6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Comprar Raphel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negociado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operativo hoy</w:t>
            </w:r>
            <w:r>
              <w:t xml:space="preserve">, validado en campo</w:t>
            </w:r>
          </w:p>
        </w:tc>
      </w:tr>
    </w:tbl>
    <w:bookmarkEnd w:id="36"/>
    <w:bookmarkStart w:id="37" w:name="valoración-para-venta-del-activo"/>
    <w:p>
      <w:pPr>
        <w:pStyle w:val="Heading3"/>
      </w:pPr>
      <w:r>
        <w:t xml:space="preserve">3.3 Valoración para venta del activo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Lógica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de salida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US$55,000–65,000</w:t>
            </w:r>
          </w:p>
        </w:tc>
        <w:tc>
          <w:tcPr/>
          <w:p>
            <w:pPr>
              <w:pStyle w:val="Compact"/>
            </w:pPr>
            <w:r>
              <w:t xml:space="preserve">Por debajo de la cotización nearshore creíble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objetivo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US$40,000–50,000</w:t>
            </w:r>
          </w:p>
        </w:tc>
        <w:tc>
          <w:tcPr/>
          <w:p>
            <w:pPr>
              <w:pStyle w:val="Compact"/>
            </w:pPr>
            <w:r>
              <w:t xml:space="preserve">Defendible frente a cualquier cotización de agencia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US$28,000–30,000</w:t>
            </w:r>
          </w:p>
        </w:tc>
        <w:tc>
          <w:tcPr/>
          <w:p>
            <w:pPr>
              <w:pStyle w:val="Compact"/>
            </w:pPr>
            <w:r>
              <w:t xml:space="preserve">Igual a la reconstrucción local creíble más barata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Palanca de momento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+US$10,000–15,000</w:t>
            </w:r>
          </w:p>
        </w:tc>
        <w:tc>
          <w:tcPr/>
          <w:p>
            <w:pPr>
              <w:pStyle w:val="Compact"/>
            </w:pPr>
            <w:r>
              <w:t xml:space="preserve">Cerrar después de entregar R1+R2 (demo de QR + informes 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Instalación para el comprador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US$2,500–3,500</w:t>
            </w:r>
            <w:r>
              <w:t xml:space="preserve"> </w:t>
            </w:r>
            <w:r>
              <w:t xml:space="preserve">pago único</w:t>
            </w:r>
          </w:p>
        </w:tc>
        <w:tc>
          <w:tcPr/>
          <w:p>
            <w:pPr>
              <w:pStyle w:val="Compact"/>
            </w:pPr>
            <w:r>
              <w:t xml:space="preserve">Aprovisionamiento, migraciones, carga inicial, capacitación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Iguala de operador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US$500–800/mes</w:t>
            </w:r>
            <w:r>
              <w:t xml:space="preserve">, mínimo 6 meses</w:t>
            </w:r>
          </w:p>
        </w:tc>
        <w:tc>
          <w:tcPr/>
          <w:p>
            <w:pPr>
              <w:pStyle w:val="Compact"/>
            </w:pPr>
            <w:r>
              <w:t xml:space="preserve">El propietario permanece como operador técnico</w:t>
            </w:r>
          </w:p>
        </w:tc>
      </w:tr>
    </w:tbl>
    <w:bookmarkEnd w:id="37"/>
    <w:bookmarkEnd w:id="38"/>
    <w:bookmarkStart w:id="42" w:name="costos-de-operación-modelo-honesto"/>
    <w:p>
      <w:pPr>
        <w:pStyle w:val="Heading2"/>
      </w:pPr>
      <w:r>
        <w:t xml:space="preserve">4. Costos de operación (modelo honesto)</w:t>
      </w:r>
    </w:p>
    <w:bookmarkStart w:id="39" w:name="Xca56842a07e197da02a90bc1a33c35d807a9e46"/>
    <w:p>
      <w:pPr>
        <w:pStyle w:val="Heading3"/>
      </w:pPr>
      <w:r>
        <w:t xml:space="preserve">4.1 Plataforma fija (compartida entre todos los clientes)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Hoy</w:t>
            </w:r>
          </w:p>
        </w:tc>
        <w:tc>
          <w:tcPr/>
          <w:p>
            <w:pPr>
              <w:pStyle w:val="Compact"/>
            </w:pPr>
            <w:r>
              <w:t xml:space="preserve">Con ~10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(Postgres, respaldos)</w:t>
            </w:r>
          </w:p>
        </w:tc>
        <w:tc>
          <w:tcPr/>
          <w:p>
            <w:pPr>
              <w:pStyle w:val="Compact"/>
            </w:pPr>
            <w:r>
              <w:t xml:space="preserve">Pro US$25</w:t>
            </w:r>
          </w:p>
        </w:tc>
        <w:tc>
          <w:tcPr/>
          <w:p>
            <w:pPr>
              <w:pStyle w:val="Compact"/>
            </w:pPr>
            <w:r>
              <w:t xml:space="preserve">US$25–75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Netlify (hosting + funciones)</w:t>
            </w:r>
          </w:p>
        </w:tc>
        <w:tc>
          <w:tcPr/>
          <w:p>
            <w:pPr>
              <w:pStyle w:val="Compact"/>
            </w:pPr>
            <w:r>
              <w:t xml:space="preserve">US$0</w:t>
            </w:r>
          </w:p>
        </w:tc>
        <w:tc>
          <w:tcPr/>
          <w:p>
            <w:pPr>
              <w:pStyle w:val="Compact"/>
            </w:pPr>
            <w:r>
              <w:t xml:space="preserve">US$19 + excedentes de ancho de banda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R2 (almacenamiento)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según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(correo)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US$0–20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~US$1.50/mes</w:t>
            </w:r>
          </w:p>
        </w:tc>
        <w:tc>
          <w:tcPr/>
          <w:p>
            <w:pPr>
              <w:pStyle w:val="Compact"/>
            </w:pPr>
            <w:r>
              <w:t xml:space="preserve">~US$1.50/mes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Max (herramienta de desarrollo continuo)</w:t>
            </w:r>
          </w:p>
        </w:tc>
        <w:tc>
          <w:tcPr/>
          <w:p>
            <w:pPr>
              <w:pStyle w:val="Compact"/>
            </w:pPr>
            <w:r>
              <w:t xml:space="preserve">US$100–200</w:t>
            </w:r>
          </w:p>
        </w:tc>
        <w:tc>
          <w:tcPr/>
          <w:p>
            <w:pPr>
              <w:pStyle w:val="Compact"/>
            </w:pPr>
            <w:r>
              <w:t xml:space="preserve">US$100–200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fijo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US$30–50/mes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US$150–300/mes</w:t>
            </w:r>
          </w:p>
        </w:tc>
      </w:tr>
    </w:tbl>
    <w:bookmarkEnd w:id="39"/>
    <w:bookmarkStart w:id="40" w:name="costo-marginal-por-cliente"/>
    <w:p>
      <w:pPr>
        <w:pStyle w:val="Heading3"/>
      </w:pPr>
      <w:r>
        <w:t xml:space="preserve">4.2 Costo marginal por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Año 1</w:t>
            </w:r>
          </w:p>
        </w:tc>
        <w:tc>
          <w:tcPr/>
          <w:p>
            <w:pPr>
              <w:pStyle w:val="Compact"/>
            </w:pPr>
            <w:r>
              <w:t xml:space="preserve">Año 2+ (maduro)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Almacenamiento (acumulativo, nunca baja)</w:t>
            </w:r>
          </w:p>
        </w:tc>
        <w:tc>
          <w:tcPr/>
          <w:p>
            <w:pPr>
              <w:pStyle w:val="Compact"/>
            </w:pPr>
            <w:r>
              <w:t xml:space="preserve">US$0.50–1.50</w:t>
            </w:r>
          </w:p>
        </w:tc>
        <w:tc>
          <w:tcPr/>
          <w:p>
            <w:pPr>
              <w:pStyle w:val="Compact"/>
            </w:pPr>
            <w:r>
              <w:t xml:space="preserve">US$3–7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Servir medios (ancho de banda/funciones)</w:t>
            </w:r>
          </w:p>
        </w:tc>
        <w:tc>
          <w:tcPr/>
          <w:p>
            <w:pPr>
              <w:pStyle w:val="Compact"/>
            </w:pPr>
            <w:r>
              <w:t xml:space="preserve">US$1–3</w:t>
            </w:r>
          </w:p>
        </w:tc>
        <w:tc>
          <w:tcPr/>
          <w:p>
            <w:pPr>
              <w:pStyle w:val="Compact"/>
            </w:pPr>
            <w:r>
              <w:t xml:space="preserve">US$5–12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Informes IA (el contexto crece con el historial)</w:t>
            </w:r>
          </w:p>
        </w:tc>
        <w:tc>
          <w:tcPr/>
          <w:p>
            <w:pPr>
              <w:pStyle w:val="Compact"/>
            </w:pPr>
            <w:r>
              <w:t xml:space="preserve">US$3–4</w:t>
            </w:r>
          </w:p>
        </w:tc>
        <w:tc>
          <w:tcPr/>
          <w:p>
            <w:pPr>
              <w:pStyle w:val="Compact"/>
            </w:pPr>
            <w:r>
              <w:t xml:space="preserve">US$6–15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/ base de datos</w:t>
            </w:r>
          </w:p>
        </w:tc>
        <w:tc>
          <w:tcPr/>
          <w:p>
            <w:pPr>
              <w:pStyle w:val="Compact"/>
            </w:pPr>
            <w:r>
              <w:t xml:space="preserve">~US$0</w:t>
            </w:r>
          </w:p>
        </w:tc>
        <w:tc>
          <w:tcPr/>
          <w:p>
            <w:pPr>
              <w:pStyle w:val="Compact"/>
            </w:pPr>
            <w:r>
              <w:t xml:space="preserve">US$1–2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Procesamiento de pagos (~3.5%)</w:t>
            </w:r>
          </w:p>
        </w:tc>
        <w:tc>
          <w:tcPr/>
          <w:p>
            <w:pPr>
              <w:pStyle w:val="Compact"/>
            </w:pPr>
            <w:r>
              <w:t xml:space="preserve">US$5–12</w:t>
            </w:r>
          </w:p>
        </w:tc>
        <w:tc>
          <w:tcPr/>
          <w:p>
            <w:pPr>
              <w:pStyle w:val="Compact"/>
            </w:pPr>
            <w:r>
              <w:t xml:space="preserve">US$5–20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+ mantenimiento (~20% del ingreso)</w:t>
            </w:r>
          </w:p>
        </w:tc>
        <w:tc>
          <w:tcPr/>
          <w:p>
            <w:pPr>
              <w:pStyle w:val="Compact"/>
            </w:pPr>
            <w:r>
              <w:t xml:space="preserve">US$30–70</w:t>
            </w:r>
          </w:p>
        </w:tc>
        <w:tc>
          <w:tcPr/>
          <w:p>
            <w:pPr>
              <w:pStyle w:val="Compact"/>
            </w:pPr>
            <w:r>
              <w:t xml:space="preserve">US$30–90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completo por cliente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US$40–90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US$50–135</w:t>
            </w:r>
          </w:p>
        </w:tc>
      </w:tr>
    </w:tbl>
    <w:bookmarkEnd w:id="40"/>
    <w:bookmarkStart w:id="41" w:name="factores-de-crecimiento-del-costo"/>
    <w:p>
      <w:pPr>
        <w:pStyle w:val="Heading3"/>
      </w:pPr>
      <w:r>
        <w:t xml:space="preserve">4.3 Factores de crecimiento del costo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Trinquete de almacenamiento</w:t>
      </w:r>
      <w:r>
        <w:t xml:space="preserve"> </w:t>
      </w:r>
      <w:r>
        <w:t xml:space="preserve">— conservar la evidencia es la promesa del producto; el almacenamiento solo crece. Se cobra con topes por plan + US$0.10/GB/mes de excedente.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Crecimiento del contexto IA</w:t>
      </w:r>
      <w:r>
        <w:t xml:space="preserve"> </w:t>
      </w:r>
      <w:r>
        <w:t xml:space="preserve">— obras más antiguas implican prompts más grandes (US$0.14 → US$0.50–1.30 por informe); se mitiga con informes por lapso de tiempo y un modelo más económico.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Medios servidos por funciones</w:t>
      </w:r>
      <w:r>
        <w:t xml:space="preserve"> </w:t>
      </w:r>
      <w:r>
        <w:t xml:space="preserve">— el mayor costo controlable; un cambio de ingeniería de ~1 día (URLs firmadas de descarga directa) casi lo elimina.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Deriva de precios/funciones de IA</w:t>
      </w:r>
      <w:r>
        <w:t xml:space="preserve"> </w:t>
      </w:r>
      <w:r>
        <w:t xml:space="preserve">— protegido contractualmente con la cláusula de ajuste anual y los excedentes medidos.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ITBIS (18%)</w:t>
      </w:r>
      <w:r>
        <w:t xml:space="preserve"> </w:t>
      </w:r>
      <w:r>
        <w:t xml:space="preserve">— se cobra aparte, nunca se absorbe.</w:t>
      </w:r>
    </w:p>
    <w:bookmarkEnd w:id="41"/>
    <w:bookmarkEnd w:id="42"/>
    <w:bookmarkStart w:id="46" w:name="modelo-comercial"/>
    <w:p>
      <w:pPr>
        <w:pStyle w:val="Heading2"/>
      </w:pPr>
      <w:r>
        <w:t xml:space="preserve">5. Modelo comercial</w:t>
      </w:r>
    </w:p>
    <w:bookmarkStart w:id="43" w:name="X776474b01997589bf058d4234655b16283d5f19"/>
    <w:p>
      <w:pPr>
        <w:pStyle w:val="Heading3"/>
      </w:pPr>
      <w:r>
        <w:t xml:space="preserve">5.1 Precios (por compañía, por mes, + ITBIS; pago anual = 2 meses gratis)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OBRA</w:t>
            </w:r>
          </w:p>
        </w:tc>
        <w:tc>
          <w:tcPr/>
          <w:p>
            <w:pPr>
              <w:pStyle w:val="Compact"/>
            </w:pPr>
            <w:r>
              <w:t xml:space="preserve">CONSTRUCTORA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US$149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US$599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Obras activas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Informes IA/mes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Tope de almacenamiento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100 GB</w:t>
            </w:r>
          </w:p>
        </w:tc>
        <w:tc>
          <w:tcPr/>
          <w:p>
            <w:pPr>
              <w:pStyle w:val="Compact"/>
            </w:pPr>
            <w:r>
              <w:t xml:space="preserve">300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(pago único)</w:t>
            </w:r>
          </w:p>
        </w:tc>
        <w:tc>
          <w:tcPr/>
          <w:p>
            <w:pPr>
              <w:pStyle w:val="Compact"/>
            </w:pPr>
            <w:r>
              <w:t xml:space="preserve">US$500</w:t>
            </w:r>
          </w:p>
        </w:tc>
        <w:tc>
          <w:tcPr/>
          <w:p>
            <w:pPr>
              <w:pStyle w:val="Compact"/>
            </w:pPr>
            <w:r>
              <w:t xml:space="preserve">US$750</w:t>
            </w:r>
          </w:p>
        </w:tc>
        <w:tc>
          <w:tcPr/>
          <w:p>
            <w:pPr>
              <w:pStyle w:val="Compact"/>
            </w:pPr>
            <w:r>
              <w:t xml:space="preserve">US$1,200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Excedentes:</w:t>
      </w:r>
      <w:r>
        <w:t xml:space="preserve"> </w:t>
      </w:r>
      <w:r>
        <w:t xml:space="preserve">informe IA US$2.50 · almacenamiento US$0.10/GB/mes · usuario US$5/mes · obra extra US$25/mes.</w:t>
      </w:r>
      <w:r>
        <w:t xml:space="preserve"> </w:t>
      </w:r>
      <w:r>
        <w:rPr>
          <w:b/>
          <w:bCs/>
        </w:rPr>
        <w:t xml:space="preserve">Protecciones contractuales:</w:t>
      </w:r>
      <w:r>
        <w:t xml:space="preserve"> </w:t>
      </w:r>
      <w:r>
        <w:t xml:space="preserve">precios +ITBIS; ajuste anual hasta 10% o inflación (aviso de 60 días); cláusula de uso justo.</w:t>
      </w:r>
    </w:p>
    <w:bookmarkEnd w:id="43"/>
    <w:bookmarkStart w:id="44" w:name="márgenes-a-costo-completo-solo-interno"/>
    <w:p>
      <w:pPr>
        <w:pStyle w:val="Heading3"/>
      </w:pPr>
      <w:r>
        <w:t xml:space="preserve">5.2 Márgenes a costo completo — SOLO INTERNO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Costo maduro</w:t>
            </w:r>
          </w:p>
        </w:tc>
        <w:tc>
          <w:tcPr/>
          <w:p>
            <w:pPr>
              <w:pStyle w:val="Compact"/>
            </w:pPr>
            <w:r>
              <w:t xml:space="preserve">Margen neto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Obra</w:t>
            </w:r>
          </w:p>
        </w:tc>
        <w:tc>
          <w:tcPr/>
          <w:p>
            <w:pPr>
              <w:pStyle w:val="Compact"/>
            </w:pPr>
            <w:r>
              <w:t xml:space="preserve">US$149</w:t>
            </w:r>
          </w:p>
        </w:tc>
        <w:tc>
          <w:tcPr/>
          <w:p>
            <w:pPr>
              <w:pStyle w:val="Compact"/>
            </w:pPr>
            <w:r>
              <w:t xml:space="preserve">~US$50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Constructora</w:t>
            </w:r>
          </w:p>
        </w:tc>
        <w:tc>
          <w:tcPr/>
          <w:p>
            <w:pPr>
              <w:pStyle w:val="Compact"/>
            </w:pPr>
            <w:r>
              <w:t xml:space="preserve">US$349</w:t>
            </w:r>
          </w:p>
        </w:tc>
        <w:tc>
          <w:tcPr/>
          <w:p>
            <w:pPr>
              <w:pStyle w:val="Compact"/>
            </w:pPr>
            <w:r>
              <w:t xml:space="preserve">~US$80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US$599</w:t>
            </w:r>
          </w:p>
        </w:tc>
        <w:tc>
          <w:tcPr/>
          <w:p>
            <w:pPr>
              <w:pStyle w:val="Compact"/>
            </w:pPr>
            <w:r>
              <w:t xml:space="preserve">~US$135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~77%</w:t>
            </w:r>
          </w:p>
        </w:tc>
      </w:tr>
    </w:tbl>
    <w:p>
      <w:pPr>
        <w:pStyle w:val="BodyText"/>
      </w:pPr>
      <w:r>
        <w:t xml:space="preserve">Contexto: las alternativas importadas (clase Procore/Autodesk) cuestan US$375–miles por mes. Raphel las socava 5–10× y sigue siendo un negocio de software saludable.</w:t>
      </w:r>
    </w:p>
    <w:bookmarkEnd w:id="44"/>
    <w:bookmarkStart w:id="45" w:name="escenarios-de-ingresos-a-doce-meses"/>
    <w:p>
      <w:pPr>
        <w:pStyle w:val="Heading3"/>
      </w:pPr>
      <w:r>
        <w:t xml:space="preserve">5.3 Escenarios de ingresos a doce meses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Clientes (mezcla)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+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Conservador</w:t>
            </w:r>
          </w:p>
        </w:tc>
        <w:tc>
          <w:tcPr/>
          <w:p>
            <w:pPr>
              <w:pStyle w:val="Compact"/>
            </w:pPr>
            <w:r>
              <w:t xml:space="preserve">4 (3 Obra, 1 Constructora)</w:t>
            </w:r>
          </w:p>
        </w:tc>
        <w:tc>
          <w:tcPr/>
          <w:p>
            <w:pPr>
              <w:pStyle w:val="Compact"/>
            </w:pPr>
            <w:r>
              <w:t xml:space="preserve">~US$800</w:t>
            </w:r>
          </w:p>
        </w:tc>
        <w:tc>
          <w:tcPr/>
          <w:p>
            <w:pPr>
              <w:pStyle w:val="Compact"/>
            </w:pPr>
            <w:r>
              <w:t xml:space="preserve">~US$9.5 mil</w:t>
            </w:r>
          </w:p>
        </w:tc>
        <w:tc>
          <w:tcPr/>
          <w:p>
            <w:pPr>
              <w:pStyle w:val="Compact"/>
            </w:pPr>
            <w:r>
              <w:t xml:space="preserve">~US$2.3 mil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10 (4 Obra, 5 Constructora, 1 Empresa)</w:t>
            </w:r>
          </w:p>
        </w:tc>
        <w:tc>
          <w:tcPr/>
          <w:p>
            <w:pPr>
              <w:pStyle w:val="Compact"/>
            </w:pPr>
            <w:r>
              <w:t xml:space="preserve">~US$2,940</w:t>
            </w:r>
          </w:p>
        </w:tc>
        <w:tc>
          <w:tcPr/>
          <w:p>
            <w:pPr>
              <w:pStyle w:val="Compact"/>
            </w:pPr>
            <w:r>
              <w:t xml:space="preserve">~US$35 mil</w:t>
            </w:r>
          </w:p>
        </w:tc>
        <w:tc>
          <w:tcPr/>
          <w:p>
            <w:pPr>
              <w:pStyle w:val="Compact"/>
            </w:pPr>
            <w:r>
              <w:t xml:space="preserve">~US$7.2 mil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Fuerte</w:t>
            </w:r>
          </w:p>
        </w:tc>
        <w:tc>
          <w:tcPr/>
          <w:p>
            <w:pPr>
              <w:pStyle w:val="Compact"/>
            </w:pPr>
            <w:r>
              <w:t xml:space="preserve">20 (6 Obra, 11 Constructora, 3 Empresa)</w:t>
            </w:r>
          </w:p>
        </w:tc>
        <w:tc>
          <w:tcPr/>
          <w:p>
            <w:pPr>
              <w:pStyle w:val="Compact"/>
            </w:pPr>
            <w:r>
              <w:t xml:space="preserve">~US$6,530</w:t>
            </w:r>
          </w:p>
        </w:tc>
        <w:tc>
          <w:tcPr/>
          <w:p>
            <w:pPr>
              <w:pStyle w:val="Compact"/>
            </w:pPr>
            <w:r>
              <w:t xml:space="preserve">~US$78 mil</w:t>
            </w:r>
          </w:p>
        </w:tc>
        <w:tc>
          <w:tcPr/>
          <w:p>
            <w:pPr>
              <w:pStyle w:val="Compact"/>
            </w:pPr>
            <w:r>
              <w:t xml:space="preserve">~US$15 mil</w:t>
            </w:r>
          </w:p>
        </w:tc>
      </w:tr>
    </w:tbl>
    <w:p>
      <w:pPr>
        <w:pStyle w:val="BodyText"/>
      </w:pPr>
      <w:r>
        <w:t xml:space="preserve">Los costos fijos en cualquiera de estas escalas se mantienen bajo US$300/mes — rentable desde el</w:t>
      </w:r>
      <w:r>
        <w:t xml:space="preserve"> </w:t>
      </w:r>
      <w:r>
        <w:rPr>
          <w:b/>
          <w:bCs/>
        </w:rPr>
        <w:t xml:space="preserve">primer</w:t>
      </w:r>
      <w:r>
        <w:t xml:space="preserve"> </w:t>
      </w:r>
      <w:r>
        <w:t xml:space="preserve">cliente.</w:t>
      </w:r>
    </w:p>
    <w:bookmarkEnd w:id="45"/>
    <w:bookmarkEnd w:id="46"/>
    <w:bookmarkStart w:id="47" w:name="comparación-de-vías-de-monetización"/>
    <w:p>
      <w:pPr>
        <w:pStyle w:val="Heading2"/>
      </w:pPr>
      <w:r>
        <w:t xml:space="preserve">6. Comparación de vías de monetización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Vía</w:t>
            </w:r>
          </w:p>
        </w:tc>
        <w:tc>
          <w:tcPr/>
          <w:p>
            <w:pPr>
              <w:pStyle w:val="Compact"/>
            </w:pPr>
            <w:r>
              <w:t xml:space="preserve">Efectivo año 1</w:t>
            </w:r>
          </w:p>
        </w:tc>
        <w:tc>
          <w:tcPr/>
          <w:p>
            <w:pPr>
              <w:pStyle w:val="Compact"/>
            </w:pPr>
            <w:r>
              <w:t xml:space="preserve">Valor a 3 años</w:t>
            </w:r>
          </w:p>
        </w:tc>
        <w:tc>
          <w:tcPr/>
          <w:p>
            <w:pPr>
              <w:pStyle w:val="Compact"/>
            </w:pPr>
            <w:r>
              <w:t xml:space="preserve">Rol del propietario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Venta del activo ahora</w:t>
            </w:r>
          </w:p>
        </w:tc>
        <w:tc>
          <w:tcPr/>
          <w:p>
            <w:pPr>
              <w:pStyle w:val="Compact"/>
            </w:pPr>
            <w:r>
              <w:t xml:space="preserve">US$40–65 mil + instalación + iguala</w:t>
            </w:r>
          </w:p>
        </w:tc>
        <w:tc>
          <w:tcPr/>
          <w:p>
            <w:pPr>
              <w:pStyle w:val="Compact"/>
            </w:pPr>
            <w:r>
              <w:t xml:space="preserve">~US$50–70 mil total, cerrado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Licenciamiento (SaaS)</w:t>
            </w:r>
          </w:p>
        </w:tc>
        <w:tc>
          <w:tcPr/>
          <w:p>
            <w:pPr>
              <w:pStyle w:val="Compact"/>
            </w:pPr>
            <w:r>
              <w:t xml:space="preserve">US$10–35 mil en crecimiento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Activo de US$125–170 mil+</w:t>
            </w:r>
            <w:r>
              <w:t xml:space="preserve"> </w:t>
            </w:r>
            <w:r>
              <w:t xml:space="preserve">(3–4× ARR, caso base) y sigue siendo suyo</w:t>
            </w:r>
          </w:p>
        </w:tc>
        <w:tc>
          <w:tcPr/>
          <w:p>
            <w:pPr>
              <w:pStyle w:val="Compact"/>
            </w:pPr>
            <w:r>
              <w:t xml:space="preserve">Propietario-operador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Híbrido</w:t>
            </w:r>
          </w:p>
        </w:tc>
        <w:tc>
          <w:tcPr/>
          <w:p>
            <w:pPr>
              <w:pStyle w:val="Compact"/>
            </w:pPr>
            <w:r>
              <w:t xml:space="preserve">US$30–40 mil (participación mayoritaria)</w:t>
            </w:r>
          </w:p>
        </w:tc>
        <w:tc>
          <w:tcPr/>
          <w:p>
            <w:pPr>
              <w:pStyle w:val="Compact"/>
            </w:pPr>
            <w:r>
              <w:t xml:space="preserve">venta + iguala + 15–25% de participación</w:t>
            </w:r>
          </w:p>
        </w:tc>
        <w:tc>
          <w:tcPr/>
          <w:p>
            <w:pPr>
              <w:pStyle w:val="Compact"/>
            </w:pPr>
            <w:r>
              <w:t xml:space="preserve">Socio/operador</w:t>
            </w:r>
          </w:p>
        </w:tc>
      </w:tr>
    </w:tbl>
    <w:p>
      <w:pPr>
        <w:pStyle w:val="BodyText"/>
      </w:pPr>
      <w:r>
        <w:t xml:space="preserve">Guía por tipo de comprador: una constructora que lo quiere para uso interno → A o C en la parte alta del rango. Una casa de software que quiere revenderlo → ellos planean la vía B para sí mismos; cobre en consecuencia (US$60 mil+) o insista en C.</w:t>
      </w:r>
    </w:p>
    <w:p>
      <w:pPr>
        <w:pStyle w:val="BodyText"/>
      </w:pPr>
      <w:r>
        <w:rPr>
          <w:b/>
          <w:bCs/>
        </w:rPr>
        <w:t xml:space="preserve">Reglas de negociación:</w:t>
      </w:r>
      <w:r>
        <w:t xml:space="preserve"> </w:t>
      </w:r>
      <w:r>
        <w:t xml:space="preserve">nunca regalar el onboarding; descontar con meses gratis, no bajando el precio de lista; cada cliente firmado antes de una venta mueve la valoración de lógica de costo de reposición a lógica de múltiplo de ingresos.</w:t>
      </w:r>
    </w:p>
    <w:bookmarkEnd w:id="47"/>
    <w:bookmarkStart w:id="48" w:name="Xd54feaff6c200d87339b10bcf9941e168d7db23"/>
    <w:p>
      <w:pPr>
        <w:pStyle w:val="Heading2"/>
      </w:pPr>
      <w:r>
        <w:t xml:space="preserve">7. Riesgos (declarar con honestidad en una diligencia)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Pre-ingresos</w:t>
      </w:r>
      <w:r>
        <w:t xml:space="preserve"> </w:t>
      </w:r>
      <w:r>
        <w:t xml:space="preserve">a la fecha; la validación es cualitativa (un arquitecto en ejercicio condujo dos rondas estructuradas de retroalimentación).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Persona clave:</w:t>
      </w:r>
      <w:r>
        <w:t xml:space="preserve"> </w:t>
      </w:r>
      <w:r>
        <w:t xml:space="preserve">el propietario es el único operador; mitigado por la disciplina de documentación y la estructura de iguala.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Dependencias de plataforma:</w:t>
      </w:r>
      <w:r>
        <w:t xml:space="preserve"> </w:t>
      </w:r>
      <w:r>
        <w:t xml:space="preserve">Netlify, Supabase, Cloudflare, Anthropic — todas sustituibles, pero migrar cuesta esfuerzo.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Posicionamiento legal:</w:t>
      </w:r>
      <w:r>
        <w:t xml:space="preserve"> </w:t>
      </w:r>
      <w:r>
        <w:t xml:space="preserve">la cadena de inalterabilidad es evidencia sólida, pero la certificación formal de firma digital bajo la Ley 126-02 requiere un proveedor certificado — especificada como funcionalidad diferida, a cotizar cuando se demande.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Responsabilidad:</w:t>
      </w:r>
      <w:r>
        <w:t xml:space="preserve"> </w:t>
      </w:r>
      <w:r>
        <w:t xml:space="preserve">un producto comercializado como evidencia legal debería eventualmente contar con seguro de responsabilidad profesional y términos de servicio revisados.</w:t>
      </w:r>
    </w:p>
    <w:bookmarkEnd w:id="48"/>
    <w:bookmarkStart w:id="49" w:name="posiciones-de-una-línea"/>
    <w:p>
      <w:pPr>
        <w:pStyle w:val="Heading2"/>
      </w:pPr>
      <w:r>
        <w:t xml:space="preserve">8. Posiciones de una línea</w:t>
      </w:r>
    </w:p>
    <w:p>
      <w:pPr>
        <w:pStyle w:val="FirstParagraph"/>
      </w:pPr>
      <w:r>
        <w:rPr>
          <w:b/>
          <w:bCs/>
        </w:rPr>
        <w:t xml:space="preserve">Para un comprador:</w:t>
      </w:r>
      <w:r>
        <w:t xml:space="preserve"> </w:t>
      </w:r>
      <w:r>
        <w:rPr>
          <w:i/>
          <w:iCs/>
        </w:rPr>
        <w:t xml:space="preserve">“Operativo hoy, validado en campo, US$35–75/mes de operación, ~US$0.14 por informe IA, US$100 mil+ reconstruirlo — pido US$55 mil con instalación, capacitación y seis meses de soporte por US$3 mil + US$650/mes.”</w:t>
      </w:r>
    </w:p>
    <w:p>
      <w:pPr>
        <w:pStyle w:val="BodyText"/>
      </w:pPr>
      <w:r>
        <w:rPr>
          <w:b/>
          <w:bCs/>
        </w:rPr>
        <w:t xml:space="preserve">Para un cliente:</w:t>
      </w:r>
      <w:r>
        <w:t xml:space="preserve"> </w:t>
      </w:r>
      <w:r>
        <w:rPr>
          <w:i/>
          <w:iCs/>
        </w:rPr>
        <w:t xml:space="preserve">“Por menos de lo que cuesta un día de retraso, cada decisión de tu obra queda registrada para siempre.”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Raphel — Business Dossier / Dossier de Negocio</dc:title>
  <dc:creator>Gamaliel Leguista</dc:creator>
  <dc:language>en</dc:language>
  <cp:keywords/>
  <dcterms:created xsi:type="dcterms:W3CDTF">2026-06-11T14:28:22Z</dcterms:created>
  <dcterms:modified xsi:type="dcterms:W3CDTF">2026-06-11T14:28:22Z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2026-06-11</vt:lpwstr>
  </property>
  <property fmtid="{D5CDD505-2E9C-101B-9397-08002B2CF9AE}" pid="3" name="subtitle">
    <vt:lpwstr>Build cost, running cost &amp; commercial model · Costo de construcción, operación y modelo comercial</vt:lpwstr>
  </property>
</Properties>
</file>