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CF9D" w14:textId="77777777" w:rsidR="007D6234" w:rsidRDefault="001A5243">
      <w:pPr>
        <w:pStyle w:val="Heading1"/>
      </w:pPr>
      <w:r>
        <w:rPr>
          <w:rFonts w:ascii="Calibri" w:hAnsi="Calibri"/>
          <w:color w:val="002B5C"/>
        </w:rPr>
        <w:t>Overall Risk Assessment Methodology</w:t>
      </w:r>
    </w:p>
    <w:p w14:paraId="57583B1C" w14:textId="77777777" w:rsidR="007D6234" w:rsidRDefault="001A5243">
      <w:pPr>
        <w:spacing w:after="240"/>
      </w:pPr>
      <w:r>
        <w:t>Inherent Risk is assessed through Likelihood and Impact ratings (2 to 10) and is then adjusted for the Control Environment (1 to 4) to derive Residual Risk. The methodology follows the Auditable Entities Risk Assessment Framework. This document presents the risk assessment for the Financial Crime Compliance (FCC) auditable entity.</w:t>
      </w:r>
    </w:p>
    <w:p w14:paraId="3B046DD9" w14:textId="77777777" w:rsidR="007D6234" w:rsidRDefault="001A5243">
      <w:pPr>
        <w:pStyle w:val="Heading1"/>
      </w:pPr>
      <w:r>
        <w:rPr>
          <w:rFonts w:ascii="Calibri" w:hAnsi="Calibri"/>
          <w:color w:val="002B5C"/>
        </w:rPr>
        <w:t>1. Inherent Risk Assessment</w:t>
      </w:r>
    </w:p>
    <w:p w14:paraId="7B66C840" w14:textId="77777777" w:rsidR="007D6234" w:rsidRDefault="001A5243">
      <w:pPr>
        <w:spacing w:after="240"/>
      </w:pPr>
      <w:r>
        <w:t>Inherent Risk is assessed separately for Likelihood and Impact across five weighted risk types. The Overall Inherent Risk Score is derived as: (Weighted Likelihood + Weighted Impact) / 2.</w:t>
      </w:r>
    </w:p>
    <w:p w14:paraId="5FA11FFD" w14:textId="77777777" w:rsidR="007D6234" w:rsidRDefault="001A5243">
      <w:pPr>
        <w:pStyle w:val="Heading2"/>
      </w:pPr>
      <w:r>
        <w:rPr>
          <w:rFonts w:ascii="Calibri" w:hAnsi="Calibri"/>
          <w:color w:val="002B5C"/>
        </w:rPr>
        <w:t>1.A  Weighted Likelihood Assessment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83"/>
        <w:gridCol w:w="853"/>
        <w:gridCol w:w="1441"/>
        <w:gridCol w:w="1075"/>
        <w:gridCol w:w="1125"/>
        <w:gridCol w:w="3385"/>
      </w:tblGrid>
      <w:tr w:rsidR="007D6234" w14:paraId="56EE2A7D" w14:textId="77777777">
        <w:trPr>
          <w:jc w:val="center"/>
        </w:trPr>
        <w:tc>
          <w:tcPr>
            <w:tcW w:w="2304" w:type="dxa"/>
            <w:shd w:val="clear" w:color="auto" w:fill="002B5C"/>
            <w:vAlign w:val="center"/>
          </w:tcPr>
          <w:p w14:paraId="68493389" w14:textId="77777777" w:rsidR="007D6234" w:rsidRDefault="001A5243">
            <w:pPr>
              <w:jc w:val="center"/>
            </w:pPr>
            <w:r>
              <w:rPr>
                <w:b/>
                <w:color w:val="FFFFFF"/>
                <w:sz w:val="20"/>
              </w:rPr>
              <w:t>Inherent Risk Type</w:t>
            </w:r>
          </w:p>
        </w:tc>
        <w:tc>
          <w:tcPr>
            <w:tcW w:w="864" w:type="dxa"/>
            <w:shd w:val="clear" w:color="auto" w:fill="002B5C"/>
            <w:vAlign w:val="center"/>
          </w:tcPr>
          <w:p w14:paraId="65A7799B" w14:textId="77777777" w:rsidR="007D6234" w:rsidRDefault="001A5243">
            <w:pPr>
              <w:jc w:val="center"/>
            </w:pPr>
            <w:r>
              <w:rPr>
                <w:b/>
                <w:color w:val="FFFFFF"/>
                <w:sz w:val="20"/>
              </w:rPr>
              <w:t>Weight</w:t>
            </w:r>
          </w:p>
        </w:tc>
        <w:tc>
          <w:tcPr>
            <w:tcW w:w="1584" w:type="dxa"/>
            <w:shd w:val="clear" w:color="auto" w:fill="002B5C"/>
            <w:vAlign w:val="center"/>
          </w:tcPr>
          <w:p w14:paraId="13E786DD" w14:textId="77777777" w:rsidR="007D6234" w:rsidRDefault="001A5243">
            <w:pPr>
              <w:jc w:val="center"/>
            </w:pPr>
            <w:r>
              <w:rPr>
                <w:b/>
                <w:color w:val="FFFFFF"/>
                <w:sz w:val="20"/>
              </w:rPr>
              <w:t>Scale (1–5)</w:t>
            </w:r>
          </w:p>
        </w:tc>
        <w:tc>
          <w:tcPr>
            <w:tcW w:w="1152" w:type="dxa"/>
            <w:shd w:val="clear" w:color="auto" w:fill="002B5C"/>
            <w:vAlign w:val="center"/>
          </w:tcPr>
          <w:p w14:paraId="70C6F77E" w14:textId="77777777" w:rsidR="007D6234" w:rsidRDefault="001A5243">
            <w:pPr>
              <w:jc w:val="center"/>
            </w:pPr>
            <w:r>
              <w:rPr>
                <w:b/>
                <w:color w:val="FFFFFF"/>
                <w:sz w:val="20"/>
              </w:rPr>
              <w:t>Matrix Value</w:t>
            </w:r>
            <w:r>
              <w:rPr>
                <w:b/>
                <w:color w:val="FFFFFF"/>
                <w:sz w:val="20"/>
              </w:rPr>
              <w:br/>
              <w:t>(2–10)</w:t>
            </w:r>
          </w:p>
        </w:tc>
        <w:tc>
          <w:tcPr>
            <w:tcW w:w="1152" w:type="dxa"/>
            <w:shd w:val="clear" w:color="auto" w:fill="002B5C"/>
            <w:vAlign w:val="center"/>
          </w:tcPr>
          <w:p w14:paraId="64046869" w14:textId="77777777" w:rsidR="007D6234" w:rsidRDefault="001A5243">
            <w:pPr>
              <w:jc w:val="center"/>
            </w:pPr>
            <w:r>
              <w:rPr>
                <w:b/>
                <w:color w:val="FFFFFF"/>
                <w:sz w:val="20"/>
              </w:rPr>
              <w:t>Weighted</w:t>
            </w:r>
            <w:r>
              <w:rPr>
                <w:b/>
                <w:color w:val="FFFFFF"/>
                <w:sz w:val="20"/>
              </w:rPr>
              <w:br/>
              <w:t>Score</w:t>
            </w:r>
          </w:p>
        </w:tc>
        <w:tc>
          <w:tcPr>
            <w:tcW w:w="3888" w:type="dxa"/>
            <w:shd w:val="clear" w:color="auto" w:fill="002B5C"/>
            <w:vAlign w:val="center"/>
          </w:tcPr>
          <w:p w14:paraId="726ABD8E" w14:textId="77777777" w:rsidR="007D6234" w:rsidRDefault="001A5243">
            <w:pPr>
              <w:jc w:val="center"/>
            </w:pPr>
            <w:r>
              <w:rPr>
                <w:b/>
                <w:color w:val="FFFFFF"/>
                <w:sz w:val="20"/>
              </w:rPr>
              <w:t>Rationale</w:t>
            </w:r>
          </w:p>
        </w:tc>
      </w:tr>
      <w:tr w:rsidR="007D6234" w14:paraId="3C4067C0" w14:textId="77777777">
        <w:trPr>
          <w:jc w:val="center"/>
        </w:trPr>
        <w:tc>
          <w:tcPr>
            <w:tcW w:w="2304" w:type="dxa"/>
            <w:vAlign w:val="center"/>
          </w:tcPr>
          <w:p w14:paraId="7F8114C3" w14:textId="77777777" w:rsidR="007D6234" w:rsidRDefault="001A5243">
            <w:r>
              <w:rPr>
                <w:b/>
                <w:sz w:val="20"/>
              </w:rPr>
              <w:t>Strategic &amp; Business Risk</w:t>
            </w:r>
          </w:p>
        </w:tc>
        <w:tc>
          <w:tcPr>
            <w:tcW w:w="864" w:type="dxa"/>
            <w:vAlign w:val="center"/>
          </w:tcPr>
          <w:p w14:paraId="17DCED26" w14:textId="77777777" w:rsidR="007D6234" w:rsidRDefault="001A5243">
            <w:pPr>
              <w:jc w:val="center"/>
            </w:pPr>
            <w:r>
              <w:rPr>
                <w:sz w:val="20"/>
              </w:rPr>
              <w:t>20%</w:t>
            </w:r>
          </w:p>
        </w:tc>
        <w:tc>
          <w:tcPr>
            <w:tcW w:w="1584" w:type="dxa"/>
            <w:vAlign w:val="center"/>
          </w:tcPr>
          <w:p w14:paraId="44F21F4F" w14:textId="65970ECC" w:rsidR="007D6234" w:rsidRDefault="00321F93">
            <w:pPr>
              <w:jc w:val="center"/>
            </w:pPr>
            <w:r>
              <w:rPr>
                <w:sz w:val="20"/>
              </w:rPr>
              <w:t>3 – Possible</w:t>
            </w:r>
          </w:p>
        </w:tc>
        <w:tc>
          <w:tcPr>
            <w:tcW w:w="1152" w:type="dxa"/>
            <w:vAlign w:val="center"/>
          </w:tcPr>
          <w:p w14:paraId="44B0A208" w14:textId="284D277E" w:rsidR="007D6234" w:rsidRDefault="00321F93">
            <w:pPr>
              <w:jc w:val="center"/>
            </w:pPr>
            <w:r>
              <w:t>6</w:t>
            </w:r>
          </w:p>
        </w:tc>
        <w:tc>
          <w:tcPr>
            <w:tcW w:w="1152" w:type="dxa"/>
            <w:vAlign w:val="center"/>
          </w:tcPr>
          <w:p w14:paraId="61FF8695" w14:textId="5BDAC897" w:rsidR="007D6234" w:rsidRDefault="001A5243">
            <w:pPr>
              <w:jc w:val="center"/>
            </w:pPr>
            <w:r>
              <w:rPr>
                <w:sz w:val="20"/>
              </w:rPr>
              <w:t>1.</w:t>
            </w:r>
            <w:r w:rsidR="00321F93">
              <w:rPr>
                <w:sz w:val="20"/>
              </w:rPr>
              <w:t>2</w:t>
            </w:r>
            <w:r>
              <w:rPr>
                <w:sz w:val="20"/>
              </w:rPr>
              <w:t>0</w:t>
            </w:r>
          </w:p>
        </w:tc>
        <w:tc>
          <w:tcPr>
            <w:tcW w:w="3888" w:type="dxa"/>
            <w:vAlign w:val="center"/>
          </w:tcPr>
          <w:p w14:paraId="615206D4" w14:textId="77777777" w:rsidR="007D6234" w:rsidRDefault="001A5243">
            <w:r>
              <w:rPr>
                <w:sz w:val="20"/>
              </w:rPr>
              <w:t>UAE banking sector expanding into digital channels; geopolitical volatility (sanctions, TBML) increases probability of FCC-related strategic risk events.</w:t>
            </w:r>
          </w:p>
        </w:tc>
      </w:tr>
      <w:tr w:rsidR="007D6234" w14:paraId="537062BB" w14:textId="77777777">
        <w:trPr>
          <w:jc w:val="center"/>
        </w:trPr>
        <w:tc>
          <w:tcPr>
            <w:tcW w:w="2304" w:type="dxa"/>
            <w:shd w:val="clear" w:color="auto" w:fill="F2F2F2"/>
            <w:vAlign w:val="center"/>
          </w:tcPr>
          <w:p w14:paraId="42967241" w14:textId="77777777" w:rsidR="007D6234" w:rsidRDefault="001A5243">
            <w:r>
              <w:rPr>
                <w:b/>
                <w:sz w:val="20"/>
              </w:rPr>
              <w:t>Financial &amp; Prudential Risk</w:t>
            </w:r>
          </w:p>
        </w:tc>
        <w:tc>
          <w:tcPr>
            <w:tcW w:w="864" w:type="dxa"/>
            <w:shd w:val="clear" w:color="auto" w:fill="F2F2F2"/>
            <w:vAlign w:val="center"/>
          </w:tcPr>
          <w:p w14:paraId="4CDC75CA" w14:textId="77777777" w:rsidR="007D6234" w:rsidRDefault="001A5243">
            <w:pPr>
              <w:jc w:val="center"/>
            </w:pPr>
            <w:r>
              <w:rPr>
                <w:sz w:val="20"/>
              </w:rPr>
              <w:t>25%</w:t>
            </w:r>
          </w:p>
        </w:tc>
        <w:tc>
          <w:tcPr>
            <w:tcW w:w="1584" w:type="dxa"/>
            <w:shd w:val="clear" w:color="auto" w:fill="F2F2F2"/>
            <w:vAlign w:val="center"/>
          </w:tcPr>
          <w:p w14:paraId="63865E01" w14:textId="77777777" w:rsidR="007D6234" w:rsidRDefault="001A5243">
            <w:pPr>
              <w:jc w:val="center"/>
            </w:pPr>
            <w:r>
              <w:rPr>
                <w:sz w:val="20"/>
              </w:rPr>
              <w:t>4 – Likely</w:t>
            </w:r>
          </w:p>
        </w:tc>
        <w:tc>
          <w:tcPr>
            <w:tcW w:w="1152" w:type="dxa"/>
            <w:shd w:val="clear" w:color="auto" w:fill="F2F2F2"/>
            <w:vAlign w:val="center"/>
          </w:tcPr>
          <w:p w14:paraId="03853697" w14:textId="77777777" w:rsidR="007D6234" w:rsidRDefault="001A5243">
            <w:pPr>
              <w:jc w:val="center"/>
            </w:pPr>
            <w:r>
              <w:rPr>
                <w:sz w:val="20"/>
              </w:rPr>
              <w:t>8</w:t>
            </w:r>
          </w:p>
        </w:tc>
        <w:tc>
          <w:tcPr>
            <w:tcW w:w="1152" w:type="dxa"/>
            <w:shd w:val="clear" w:color="auto" w:fill="F2F2F2"/>
            <w:vAlign w:val="center"/>
          </w:tcPr>
          <w:p w14:paraId="5F43FC9F" w14:textId="77777777" w:rsidR="007D6234" w:rsidRDefault="001A5243">
            <w:pPr>
              <w:jc w:val="center"/>
            </w:pPr>
            <w:r>
              <w:rPr>
                <w:sz w:val="20"/>
              </w:rPr>
              <w:t>2.00</w:t>
            </w:r>
          </w:p>
        </w:tc>
        <w:tc>
          <w:tcPr>
            <w:tcW w:w="3888" w:type="dxa"/>
            <w:shd w:val="clear" w:color="auto" w:fill="F2F2F2"/>
            <w:vAlign w:val="center"/>
          </w:tcPr>
          <w:p w14:paraId="104E0945" w14:textId="77777777" w:rsidR="007D6234" w:rsidRDefault="001A5243">
            <w:r>
              <w:rPr>
                <w:sz w:val="20"/>
              </w:rPr>
              <w:t xml:space="preserve">Heightened CBUAE enforcement environment makes financial penalties increasingly likely. Remediation </w:t>
            </w:r>
            <w:proofErr w:type="spellStart"/>
            <w:r>
              <w:rPr>
                <w:sz w:val="20"/>
              </w:rPr>
              <w:t>programme</w:t>
            </w:r>
            <w:proofErr w:type="spellEnd"/>
            <w:r>
              <w:rPr>
                <w:sz w:val="20"/>
              </w:rPr>
              <w:t xml:space="preserve"> costs are a recurring exposure.</w:t>
            </w:r>
          </w:p>
        </w:tc>
      </w:tr>
      <w:tr w:rsidR="007D6234" w14:paraId="224DBB4D" w14:textId="77777777">
        <w:trPr>
          <w:jc w:val="center"/>
        </w:trPr>
        <w:tc>
          <w:tcPr>
            <w:tcW w:w="2304" w:type="dxa"/>
            <w:vAlign w:val="center"/>
          </w:tcPr>
          <w:p w14:paraId="28804690" w14:textId="77777777" w:rsidR="007D6234" w:rsidRDefault="001A5243">
            <w:r>
              <w:rPr>
                <w:b/>
                <w:sz w:val="20"/>
              </w:rPr>
              <w:t>Regulatory, Compliance &amp; Conduct Risk</w:t>
            </w:r>
          </w:p>
        </w:tc>
        <w:tc>
          <w:tcPr>
            <w:tcW w:w="864" w:type="dxa"/>
            <w:vAlign w:val="center"/>
          </w:tcPr>
          <w:p w14:paraId="4137B3FB" w14:textId="77777777" w:rsidR="007D6234" w:rsidRDefault="001A5243">
            <w:pPr>
              <w:jc w:val="center"/>
            </w:pPr>
            <w:r>
              <w:rPr>
                <w:sz w:val="20"/>
              </w:rPr>
              <w:t>25%</w:t>
            </w:r>
          </w:p>
        </w:tc>
        <w:tc>
          <w:tcPr>
            <w:tcW w:w="1584" w:type="dxa"/>
            <w:vAlign w:val="center"/>
          </w:tcPr>
          <w:p w14:paraId="2107A09A" w14:textId="77777777" w:rsidR="007D6234" w:rsidRDefault="001A5243">
            <w:pPr>
              <w:jc w:val="center"/>
            </w:pPr>
            <w:r>
              <w:rPr>
                <w:sz w:val="20"/>
              </w:rPr>
              <w:t>5 – Almost Certain</w:t>
            </w:r>
          </w:p>
        </w:tc>
        <w:tc>
          <w:tcPr>
            <w:tcW w:w="1152" w:type="dxa"/>
            <w:vAlign w:val="center"/>
          </w:tcPr>
          <w:p w14:paraId="5D369756" w14:textId="77777777" w:rsidR="007D6234" w:rsidRDefault="001A5243">
            <w:pPr>
              <w:jc w:val="center"/>
            </w:pPr>
            <w:r>
              <w:rPr>
                <w:sz w:val="20"/>
              </w:rPr>
              <w:t>10</w:t>
            </w:r>
          </w:p>
        </w:tc>
        <w:tc>
          <w:tcPr>
            <w:tcW w:w="1152" w:type="dxa"/>
            <w:vAlign w:val="center"/>
          </w:tcPr>
          <w:p w14:paraId="15EA425D" w14:textId="77777777" w:rsidR="007D6234" w:rsidRDefault="001A5243">
            <w:pPr>
              <w:jc w:val="center"/>
            </w:pPr>
            <w:r>
              <w:rPr>
                <w:sz w:val="20"/>
              </w:rPr>
              <w:t>2.50</w:t>
            </w:r>
          </w:p>
        </w:tc>
        <w:tc>
          <w:tcPr>
            <w:tcW w:w="3888" w:type="dxa"/>
            <w:vAlign w:val="center"/>
          </w:tcPr>
          <w:p w14:paraId="6FE80D45" w14:textId="77777777" w:rsidR="007D6234" w:rsidRDefault="001A5243">
            <w:r>
              <w:rPr>
                <w:sz w:val="20"/>
              </w:rPr>
              <w:t>UAE under FATF enhanced follow-up; frequent CBUAE AML/CFT/CPF examinations; evolving sanctions landscape; growing alert backlogs; high-risk onboarding volumes (PEPs, high-risk jurisdictions); repeat breaches and ageing regulatory issues.</w:t>
            </w:r>
          </w:p>
        </w:tc>
      </w:tr>
      <w:tr w:rsidR="007D6234" w14:paraId="284FCA4F" w14:textId="77777777">
        <w:trPr>
          <w:jc w:val="center"/>
        </w:trPr>
        <w:tc>
          <w:tcPr>
            <w:tcW w:w="2304" w:type="dxa"/>
            <w:shd w:val="clear" w:color="auto" w:fill="F2F2F2"/>
            <w:vAlign w:val="center"/>
          </w:tcPr>
          <w:p w14:paraId="048A3E44" w14:textId="77777777" w:rsidR="007D6234" w:rsidRDefault="001A5243">
            <w:r>
              <w:rPr>
                <w:b/>
                <w:sz w:val="20"/>
              </w:rPr>
              <w:t>Operational &amp; Technology Risk</w:t>
            </w:r>
          </w:p>
        </w:tc>
        <w:tc>
          <w:tcPr>
            <w:tcW w:w="864" w:type="dxa"/>
            <w:shd w:val="clear" w:color="auto" w:fill="F2F2F2"/>
            <w:vAlign w:val="center"/>
          </w:tcPr>
          <w:p w14:paraId="2C874B54" w14:textId="77777777" w:rsidR="007D6234" w:rsidRDefault="001A5243">
            <w:pPr>
              <w:jc w:val="center"/>
            </w:pPr>
            <w:r>
              <w:rPr>
                <w:sz w:val="20"/>
              </w:rPr>
              <w:t>20%</w:t>
            </w:r>
          </w:p>
        </w:tc>
        <w:tc>
          <w:tcPr>
            <w:tcW w:w="1584" w:type="dxa"/>
            <w:shd w:val="clear" w:color="auto" w:fill="F2F2F2"/>
            <w:vAlign w:val="center"/>
          </w:tcPr>
          <w:p w14:paraId="71AF6FCC" w14:textId="77777777" w:rsidR="007D6234" w:rsidRDefault="001A5243">
            <w:pPr>
              <w:jc w:val="center"/>
            </w:pPr>
            <w:r>
              <w:rPr>
                <w:sz w:val="20"/>
              </w:rPr>
              <w:t>4 – Likely</w:t>
            </w:r>
          </w:p>
        </w:tc>
        <w:tc>
          <w:tcPr>
            <w:tcW w:w="1152" w:type="dxa"/>
            <w:shd w:val="clear" w:color="auto" w:fill="F2F2F2"/>
            <w:vAlign w:val="center"/>
          </w:tcPr>
          <w:p w14:paraId="49832D11" w14:textId="77777777" w:rsidR="007D6234" w:rsidRDefault="001A5243">
            <w:pPr>
              <w:jc w:val="center"/>
            </w:pPr>
            <w:r>
              <w:rPr>
                <w:sz w:val="20"/>
              </w:rPr>
              <w:t>8</w:t>
            </w:r>
          </w:p>
        </w:tc>
        <w:tc>
          <w:tcPr>
            <w:tcW w:w="1152" w:type="dxa"/>
            <w:shd w:val="clear" w:color="auto" w:fill="F2F2F2"/>
            <w:vAlign w:val="center"/>
          </w:tcPr>
          <w:p w14:paraId="2ABA0B8B" w14:textId="77777777" w:rsidR="007D6234" w:rsidRDefault="001A5243">
            <w:pPr>
              <w:jc w:val="center"/>
            </w:pPr>
            <w:r>
              <w:rPr>
                <w:sz w:val="20"/>
              </w:rPr>
              <w:t>1.60</w:t>
            </w:r>
          </w:p>
        </w:tc>
        <w:tc>
          <w:tcPr>
            <w:tcW w:w="3888" w:type="dxa"/>
            <w:shd w:val="clear" w:color="auto" w:fill="F2F2F2"/>
            <w:vAlign w:val="center"/>
          </w:tcPr>
          <w:p w14:paraId="71E24976" w14:textId="77777777" w:rsidR="007D6234" w:rsidRDefault="001A5243">
            <w:r>
              <w:rPr>
                <w:sz w:val="20"/>
              </w:rPr>
              <w:t>Complex TM/sanctions screening systems with high alert volumes, significant manual intervention, tuning backlogs, and data quality dependencies.</w:t>
            </w:r>
          </w:p>
        </w:tc>
      </w:tr>
      <w:tr w:rsidR="007D6234" w14:paraId="4ACCBC84" w14:textId="77777777">
        <w:trPr>
          <w:jc w:val="center"/>
        </w:trPr>
        <w:tc>
          <w:tcPr>
            <w:tcW w:w="2304" w:type="dxa"/>
            <w:vAlign w:val="center"/>
          </w:tcPr>
          <w:p w14:paraId="5C115751" w14:textId="77777777" w:rsidR="007D6234" w:rsidRDefault="001A5243">
            <w:r>
              <w:rPr>
                <w:b/>
                <w:sz w:val="20"/>
              </w:rPr>
              <w:t>Change, Governance &amp; Third-Party Risk</w:t>
            </w:r>
          </w:p>
        </w:tc>
        <w:tc>
          <w:tcPr>
            <w:tcW w:w="864" w:type="dxa"/>
            <w:vAlign w:val="center"/>
          </w:tcPr>
          <w:p w14:paraId="434B6B21" w14:textId="77777777" w:rsidR="007D6234" w:rsidRDefault="001A5243">
            <w:pPr>
              <w:jc w:val="center"/>
            </w:pPr>
            <w:r>
              <w:rPr>
                <w:sz w:val="20"/>
              </w:rPr>
              <w:t>10%</w:t>
            </w:r>
          </w:p>
        </w:tc>
        <w:tc>
          <w:tcPr>
            <w:tcW w:w="1584" w:type="dxa"/>
            <w:vAlign w:val="center"/>
          </w:tcPr>
          <w:p w14:paraId="6734CDB5" w14:textId="77777777" w:rsidR="007D6234" w:rsidRDefault="001A5243">
            <w:pPr>
              <w:jc w:val="center"/>
            </w:pPr>
            <w:r>
              <w:rPr>
                <w:sz w:val="20"/>
              </w:rPr>
              <w:t>3 – Possible</w:t>
            </w:r>
          </w:p>
        </w:tc>
        <w:tc>
          <w:tcPr>
            <w:tcW w:w="1152" w:type="dxa"/>
            <w:vAlign w:val="center"/>
          </w:tcPr>
          <w:p w14:paraId="29B4EA11" w14:textId="77777777" w:rsidR="007D6234" w:rsidRDefault="001A5243">
            <w:pPr>
              <w:jc w:val="center"/>
            </w:pPr>
            <w:r>
              <w:rPr>
                <w:sz w:val="20"/>
              </w:rPr>
              <w:t>6</w:t>
            </w:r>
          </w:p>
        </w:tc>
        <w:tc>
          <w:tcPr>
            <w:tcW w:w="1152" w:type="dxa"/>
            <w:vAlign w:val="center"/>
          </w:tcPr>
          <w:p w14:paraId="337EA188" w14:textId="77777777" w:rsidR="007D6234" w:rsidRDefault="001A5243">
            <w:pPr>
              <w:jc w:val="center"/>
            </w:pPr>
            <w:r>
              <w:rPr>
                <w:sz w:val="20"/>
              </w:rPr>
              <w:t>0.60</w:t>
            </w:r>
          </w:p>
        </w:tc>
        <w:tc>
          <w:tcPr>
            <w:tcW w:w="3888" w:type="dxa"/>
            <w:vAlign w:val="center"/>
          </w:tcPr>
          <w:p w14:paraId="182605D5" w14:textId="77777777" w:rsidR="007D6234" w:rsidRDefault="001A5243">
            <w:r>
              <w:rPr>
                <w:sz w:val="20"/>
              </w:rPr>
              <w:t>Frequent regulatory changes (Federal AML/CFT law amendments, CPF requirements) require ongoing updates. Vendor concentration risk for TM/screening platforms.</w:t>
            </w:r>
          </w:p>
        </w:tc>
      </w:tr>
      <w:tr w:rsidR="007D6234" w14:paraId="185B4967" w14:textId="77777777">
        <w:trPr>
          <w:jc w:val="center"/>
        </w:trPr>
        <w:tc>
          <w:tcPr>
            <w:tcW w:w="2304" w:type="dxa"/>
            <w:shd w:val="clear" w:color="auto" w:fill="002B5C"/>
            <w:vAlign w:val="center"/>
          </w:tcPr>
          <w:p w14:paraId="104A44B6" w14:textId="77777777" w:rsidR="007D6234" w:rsidRDefault="001A5243">
            <w:r>
              <w:rPr>
                <w:b/>
                <w:color w:val="FFFFFF"/>
                <w:sz w:val="20"/>
              </w:rPr>
              <w:t>Overall Weighted Likelihood</w:t>
            </w:r>
          </w:p>
        </w:tc>
        <w:tc>
          <w:tcPr>
            <w:tcW w:w="864" w:type="dxa"/>
            <w:shd w:val="clear" w:color="auto" w:fill="002B5C"/>
            <w:vAlign w:val="center"/>
          </w:tcPr>
          <w:p w14:paraId="672A6659" w14:textId="77777777" w:rsidR="007D6234" w:rsidRDefault="007D6234">
            <w:pPr>
              <w:jc w:val="center"/>
            </w:pPr>
          </w:p>
        </w:tc>
        <w:tc>
          <w:tcPr>
            <w:tcW w:w="1584" w:type="dxa"/>
            <w:shd w:val="clear" w:color="auto" w:fill="002B5C"/>
            <w:vAlign w:val="center"/>
          </w:tcPr>
          <w:p w14:paraId="0A37501D" w14:textId="77777777" w:rsidR="007D6234" w:rsidRDefault="007D6234">
            <w:pPr>
              <w:jc w:val="center"/>
            </w:pPr>
          </w:p>
        </w:tc>
        <w:tc>
          <w:tcPr>
            <w:tcW w:w="1152" w:type="dxa"/>
            <w:shd w:val="clear" w:color="auto" w:fill="002B5C"/>
            <w:vAlign w:val="center"/>
          </w:tcPr>
          <w:p w14:paraId="5DAB6C7B" w14:textId="77777777" w:rsidR="007D6234" w:rsidRDefault="007D6234">
            <w:pPr>
              <w:jc w:val="center"/>
            </w:pPr>
          </w:p>
        </w:tc>
        <w:tc>
          <w:tcPr>
            <w:tcW w:w="1152" w:type="dxa"/>
            <w:shd w:val="clear" w:color="auto" w:fill="002B5C"/>
            <w:vAlign w:val="center"/>
          </w:tcPr>
          <w:p w14:paraId="7F6B6A4C" w14:textId="6A248C10" w:rsidR="007D6234" w:rsidRDefault="00D65D03">
            <w:pPr>
              <w:jc w:val="center"/>
            </w:pPr>
            <w:r>
              <w:rPr>
                <w:b/>
                <w:color w:val="FFFFFF"/>
                <w:sz w:val="20"/>
              </w:rPr>
              <w:t>7</w:t>
            </w:r>
            <w:r w:rsidR="001A5243">
              <w:rPr>
                <w:b/>
                <w:color w:val="FFFFFF"/>
                <w:sz w:val="20"/>
              </w:rPr>
              <w:t>.</w:t>
            </w:r>
            <w:r>
              <w:rPr>
                <w:b/>
                <w:color w:val="FFFFFF"/>
                <w:sz w:val="20"/>
              </w:rPr>
              <w:t>9</w:t>
            </w:r>
          </w:p>
        </w:tc>
        <w:tc>
          <w:tcPr>
            <w:tcW w:w="3888" w:type="dxa"/>
            <w:shd w:val="clear" w:color="auto" w:fill="002B5C"/>
            <w:vAlign w:val="center"/>
          </w:tcPr>
          <w:p w14:paraId="02EB378F" w14:textId="77777777" w:rsidR="007D6234" w:rsidRDefault="007D6234">
            <w:pPr>
              <w:jc w:val="center"/>
            </w:pPr>
          </w:p>
        </w:tc>
      </w:tr>
    </w:tbl>
    <w:p w14:paraId="6A05A809" w14:textId="77777777" w:rsidR="007D6234" w:rsidRDefault="007D6234"/>
    <w:p w14:paraId="4722CD9F" w14:textId="77777777" w:rsidR="007D6234" w:rsidRDefault="001A5243">
      <w:pPr>
        <w:pStyle w:val="Heading2"/>
      </w:pPr>
      <w:r>
        <w:rPr>
          <w:rFonts w:ascii="Calibri" w:hAnsi="Calibri"/>
          <w:color w:val="002B5C"/>
        </w:rPr>
        <w:lastRenderedPageBreak/>
        <w:t>1.B  Weighted Impact Assessment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76"/>
        <w:gridCol w:w="853"/>
        <w:gridCol w:w="1466"/>
        <w:gridCol w:w="1072"/>
        <w:gridCol w:w="1124"/>
        <w:gridCol w:w="3371"/>
      </w:tblGrid>
      <w:tr w:rsidR="007D6234" w14:paraId="03B36F16" w14:textId="77777777">
        <w:trPr>
          <w:jc w:val="center"/>
        </w:trPr>
        <w:tc>
          <w:tcPr>
            <w:tcW w:w="2304" w:type="dxa"/>
            <w:shd w:val="clear" w:color="auto" w:fill="002B5C"/>
            <w:vAlign w:val="center"/>
          </w:tcPr>
          <w:p w14:paraId="44673099" w14:textId="77777777" w:rsidR="007D6234" w:rsidRDefault="001A5243">
            <w:pPr>
              <w:jc w:val="center"/>
            </w:pPr>
            <w:r>
              <w:rPr>
                <w:b/>
                <w:color w:val="FFFFFF"/>
                <w:sz w:val="20"/>
              </w:rPr>
              <w:t>Inherent Risk Type</w:t>
            </w:r>
          </w:p>
        </w:tc>
        <w:tc>
          <w:tcPr>
            <w:tcW w:w="864" w:type="dxa"/>
            <w:shd w:val="clear" w:color="auto" w:fill="002B5C"/>
            <w:vAlign w:val="center"/>
          </w:tcPr>
          <w:p w14:paraId="376B5FE2" w14:textId="77777777" w:rsidR="007D6234" w:rsidRDefault="001A5243">
            <w:pPr>
              <w:jc w:val="center"/>
            </w:pPr>
            <w:r>
              <w:rPr>
                <w:b/>
                <w:color w:val="FFFFFF"/>
                <w:sz w:val="20"/>
              </w:rPr>
              <w:t>Weight</w:t>
            </w:r>
          </w:p>
        </w:tc>
        <w:tc>
          <w:tcPr>
            <w:tcW w:w="1584" w:type="dxa"/>
            <w:shd w:val="clear" w:color="auto" w:fill="002B5C"/>
            <w:vAlign w:val="center"/>
          </w:tcPr>
          <w:p w14:paraId="28ED8C48" w14:textId="77777777" w:rsidR="007D6234" w:rsidRDefault="001A5243">
            <w:pPr>
              <w:jc w:val="center"/>
            </w:pPr>
            <w:r>
              <w:rPr>
                <w:b/>
                <w:color w:val="FFFFFF"/>
                <w:sz w:val="20"/>
              </w:rPr>
              <w:t>Scale (1–5)</w:t>
            </w:r>
          </w:p>
        </w:tc>
        <w:tc>
          <w:tcPr>
            <w:tcW w:w="1152" w:type="dxa"/>
            <w:shd w:val="clear" w:color="auto" w:fill="002B5C"/>
            <w:vAlign w:val="center"/>
          </w:tcPr>
          <w:p w14:paraId="1FA00423" w14:textId="77777777" w:rsidR="007D6234" w:rsidRDefault="001A5243">
            <w:pPr>
              <w:jc w:val="center"/>
            </w:pPr>
            <w:r>
              <w:rPr>
                <w:b/>
                <w:color w:val="FFFFFF"/>
                <w:sz w:val="20"/>
              </w:rPr>
              <w:t>Matrix Value</w:t>
            </w:r>
            <w:r>
              <w:rPr>
                <w:b/>
                <w:color w:val="FFFFFF"/>
                <w:sz w:val="20"/>
              </w:rPr>
              <w:br/>
              <w:t>(2–10)</w:t>
            </w:r>
          </w:p>
        </w:tc>
        <w:tc>
          <w:tcPr>
            <w:tcW w:w="1152" w:type="dxa"/>
            <w:shd w:val="clear" w:color="auto" w:fill="002B5C"/>
            <w:vAlign w:val="center"/>
          </w:tcPr>
          <w:p w14:paraId="5C139144" w14:textId="77777777" w:rsidR="007D6234" w:rsidRDefault="001A5243">
            <w:pPr>
              <w:jc w:val="center"/>
            </w:pPr>
            <w:r>
              <w:rPr>
                <w:b/>
                <w:color w:val="FFFFFF"/>
                <w:sz w:val="20"/>
              </w:rPr>
              <w:t>Weighted</w:t>
            </w:r>
            <w:r>
              <w:rPr>
                <w:b/>
                <w:color w:val="FFFFFF"/>
                <w:sz w:val="20"/>
              </w:rPr>
              <w:br/>
              <w:t>Score</w:t>
            </w:r>
          </w:p>
        </w:tc>
        <w:tc>
          <w:tcPr>
            <w:tcW w:w="3888" w:type="dxa"/>
            <w:shd w:val="clear" w:color="auto" w:fill="002B5C"/>
            <w:vAlign w:val="center"/>
          </w:tcPr>
          <w:p w14:paraId="5737FCA7" w14:textId="77777777" w:rsidR="007D6234" w:rsidRDefault="001A5243">
            <w:pPr>
              <w:jc w:val="center"/>
            </w:pPr>
            <w:r>
              <w:rPr>
                <w:b/>
                <w:color w:val="FFFFFF"/>
                <w:sz w:val="20"/>
              </w:rPr>
              <w:t>Rationale</w:t>
            </w:r>
          </w:p>
        </w:tc>
      </w:tr>
      <w:tr w:rsidR="007D6234" w14:paraId="7EA21682" w14:textId="77777777">
        <w:trPr>
          <w:jc w:val="center"/>
        </w:trPr>
        <w:tc>
          <w:tcPr>
            <w:tcW w:w="2304" w:type="dxa"/>
            <w:vAlign w:val="center"/>
          </w:tcPr>
          <w:p w14:paraId="5CA559FF" w14:textId="77777777" w:rsidR="007D6234" w:rsidRDefault="001A5243">
            <w:r>
              <w:rPr>
                <w:b/>
                <w:sz w:val="20"/>
              </w:rPr>
              <w:t>Strategic &amp; Business Risk</w:t>
            </w:r>
          </w:p>
        </w:tc>
        <w:tc>
          <w:tcPr>
            <w:tcW w:w="864" w:type="dxa"/>
            <w:vAlign w:val="center"/>
          </w:tcPr>
          <w:p w14:paraId="3976D853" w14:textId="77777777" w:rsidR="007D6234" w:rsidRDefault="001A5243">
            <w:pPr>
              <w:jc w:val="center"/>
            </w:pPr>
            <w:r>
              <w:rPr>
                <w:sz w:val="20"/>
              </w:rPr>
              <w:t>20%</w:t>
            </w:r>
          </w:p>
        </w:tc>
        <w:tc>
          <w:tcPr>
            <w:tcW w:w="1584" w:type="dxa"/>
            <w:vAlign w:val="center"/>
          </w:tcPr>
          <w:p w14:paraId="50CDF2A0" w14:textId="77777777" w:rsidR="007D6234" w:rsidRDefault="001A5243">
            <w:pPr>
              <w:jc w:val="center"/>
            </w:pPr>
            <w:r>
              <w:rPr>
                <w:sz w:val="20"/>
              </w:rPr>
              <w:t>4 – Major</w:t>
            </w:r>
          </w:p>
        </w:tc>
        <w:tc>
          <w:tcPr>
            <w:tcW w:w="1152" w:type="dxa"/>
            <w:vAlign w:val="center"/>
          </w:tcPr>
          <w:p w14:paraId="4CE4F91D" w14:textId="77777777" w:rsidR="007D6234" w:rsidRDefault="001A5243">
            <w:pPr>
              <w:jc w:val="center"/>
            </w:pPr>
            <w:r>
              <w:rPr>
                <w:sz w:val="20"/>
              </w:rPr>
              <w:t>8</w:t>
            </w:r>
          </w:p>
        </w:tc>
        <w:tc>
          <w:tcPr>
            <w:tcW w:w="1152" w:type="dxa"/>
            <w:vAlign w:val="center"/>
          </w:tcPr>
          <w:p w14:paraId="3A3018D6" w14:textId="77777777" w:rsidR="007D6234" w:rsidRDefault="001A5243">
            <w:pPr>
              <w:jc w:val="center"/>
            </w:pPr>
            <w:r>
              <w:rPr>
                <w:sz w:val="20"/>
              </w:rPr>
              <w:t>1.60</w:t>
            </w:r>
          </w:p>
        </w:tc>
        <w:tc>
          <w:tcPr>
            <w:tcW w:w="3888" w:type="dxa"/>
            <w:vAlign w:val="center"/>
          </w:tcPr>
          <w:p w14:paraId="1B5DDEFA" w14:textId="77777777" w:rsidR="007D6234" w:rsidRDefault="001A5243">
            <w:r>
              <w:rPr>
                <w:sz w:val="20"/>
              </w:rPr>
              <w:t>FCC failures can severely damage correspondent banking relationships, franchise value, and international market positioning.</w:t>
            </w:r>
          </w:p>
        </w:tc>
      </w:tr>
      <w:tr w:rsidR="007D6234" w14:paraId="13560B81" w14:textId="77777777">
        <w:trPr>
          <w:jc w:val="center"/>
        </w:trPr>
        <w:tc>
          <w:tcPr>
            <w:tcW w:w="2304" w:type="dxa"/>
            <w:shd w:val="clear" w:color="auto" w:fill="F2F2F2"/>
            <w:vAlign w:val="center"/>
          </w:tcPr>
          <w:p w14:paraId="63520CC1" w14:textId="77777777" w:rsidR="007D6234" w:rsidRDefault="001A5243">
            <w:r>
              <w:rPr>
                <w:b/>
                <w:sz w:val="20"/>
              </w:rPr>
              <w:t>Financial &amp; Prudential Risk</w:t>
            </w:r>
          </w:p>
        </w:tc>
        <w:tc>
          <w:tcPr>
            <w:tcW w:w="864" w:type="dxa"/>
            <w:shd w:val="clear" w:color="auto" w:fill="F2F2F2"/>
            <w:vAlign w:val="center"/>
          </w:tcPr>
          <w:p w14:paraId="24D7D3BE" w14:textId="77777777" w:rsidR="007D6234" w:rsidRDefault="001A5243">
            <w:pPr>
              <w:jc w:val="center"/>
            </w:pPr>
            <w:r>
              <w:rPr>
                <w:sz w:val="20"/>
              </w:rPr>
              <w:t>25%</w:t>
            </w:r>
          </w:p>
        </w:tc>
        <w:tc>
          <w:tcPr>
            <w:tcW w:w="1584" w:type="dxa"/>
            <w:shd w:val="clear" w:color="auto" w:fill="F2F2F2"/>
            <w:vAlign w:val="center"/>
          </w:tcPr>
          <w:p w14:paraId="410FBCB2" w14:textId="77777777" w:rsidR="007D6234" w:rsidRDefault="001A5243">
            <w:pPr>
              <w:jc w:val="center"/>
            </w:pPr>
            <w:r>
              <w:rPr>
                <w:sz w:val="20"/>
              </w:rPr>
              <w:t>4 – Major</w:t>
            </w:r>
          </w:p>
        </w:tc>
        <w:tc>
          <w:tcPr>
            <w:tcW w:w="1152" w:type="dxa"/>
            <w:shd w:val="clear" w:color="auto" w:fill="F2F2F2"/>
            <w:vAlign w:val="center"/>
          </w:tcPr>
          <w:p w14:paraId="46D1341F" w14:textId="77777777" w:rsidR="007D6234" w:rsidRDefault="001A5243">
            <w:pPr>
              <w:jc w:val="center"/>
            </w:pPr>
            <w:r>
              <w:rPr>
                <w:sz w:val="20"/>
              </w:rPr>
              <w:t>8</w:t>
            </w:r>
          </w:p>
        </w:tc>
        <w:tc>
          <w:tcPr>
            <w:tcW w:w="1152" w:type="dxa"/>
            <w:shd w:val="clear" w:color="auto" w:fill="F2F2F2"/>
            <w:vAlign w:val="center"/>
          </w:tcPr>
          <w:p w14:paraId="3004F078" w14:textId="77777777" w:rsidR="007D6234" w:rsidRDefault="001A5243">
            <w:pPr>
              <w:jc w:val="center"/>
            </w:pPr>
            <w:r>
              <w:rPr>
                <w:sz w:val="20"/>
              </w:rPr>
              <w:t>2.00</w:t>
            </w:r>
          </w:p>
        </w:tc>
        <w:tc>
          <w:tcPr>
            <w:tcW w:w="3888" w:type="dxa"/>
            <w:shd w:val="clear" w:color="auto" w:fill="F2F2F2"/>
            <w:vAlign w:val="center"/>
          </w:tcPr>
          <w:p w14:paraId="215CE59E" w14:textId="77777777" w:rsidR="007D6234" w:rsidRDefault="001A5243">
            <w:r>
              <w:rPr>
                <w:sz w:val="20"/>
              </w:rPr>
              <w:t>CBUAE-imposed penalties can be material. Remediation costs (system upgrades, enhanced staffing, third-party reviews) carry bank-wide financial impact.</w:t>
            </w:r>
          </w:p>
        </w:tc>
      </w:tr>
      <w:tr w:rsidR="007D6234" w14:paraId="23A99D40" w14:textId="77777777">
        <w:trPr>
          <w:jc w:val="center"/>
        </w:trPr>
        <w:tc>
          <w:tcPr>
            <w:tcW w:w="2304" w:type="dxa"/>
            <w:vAlign w:val="center"/>
          </w:tcPr>
          <w:p w14:paraId="0C50218D" w14:textId="77777777" w:rsidR="007D6234" w:rsidRDefault="001A5243">
            <w:r>
              <w:rPr>
                <w:b/>
                <w:sz w:val="20"/>
              </w:rPr>
              <w:t>Regulatory, Compliance &amp; Conduct Risk</w:t>
            </w:r>
          </w:p>
        </w:tc>
        <w:tc>
          <w:tcPr>
            <w:tcW w:w="864" w:type="dxa"/>
            <w:vAlign w:val="center"/>
          </w:tcPr>
          <w:p w14:paraId="427C9917" w14:textId="77777777" w:rsidR="007D6234" w:rsidRDefault="001A5243">
            <w:pPr>
              <w:jc w:val="center"/>
            </w:pPr>
            <w:r>
              <w:rPr>
                <w:sz w:val="20"/>
              </w:rPr>
              <w:t>25%</w:t>
            </w:r>
          </w:p>
        </w:tc>
        <w:tc>
          <w:tcPr>
            <w:tcW w:w="1584" w:type="dxa"/>
            <w:vAlign w:val="center"/>
          </w:tcPr>
          <w:p w14:paraId="0F3D1449" w14:textId="77777777" w:rsidR="007D6234" w:rsidRDefault="001A5243">
            <w:pPr>
              <w:jc w:val="center"/>
            </w:pPr>
            <w:r>
              <w:rPr>
                <w:sz w:val="20"/>
              </w:rPr>
              <w:t>5 – Severe</w:t>
            </w:r>
          </w:p>
        </w:tc>
        <w:tc>
          <w:tcPr>
            <w:tcW w:w="1152" w:type="dxa"/>
            <w:vAlign w:val="center"/>
          </w:tcPr>
          <w:p w14:paraId="446DE71A" w14:textId="77777777" w:rsidR="007D6234" w:rsidRDefault="001A5243">
            <w:pPr>
              <w:jc w:val="center"/>
            </w:pPr>
            <w:r>
              <w:rPr>
                <w:sz w:val="20"/>
              </w:rPr>
              <w:t>10</w:t>
            </w:r>
          </w:p>
        </w:tc>
        <w:tc>
          <w:tcPr>
            <w:tcW w:w="1152" w:type="dxa"/>
            <w:vAlign w:val="center"/>
          </w:tcPr>
          <w:p w14:paraId="75EC16CD" w14:textId="77777777" w:rsidR="007D6234" w:rsidRDefault="001A5243">
            <w:pPr>
              <w:jc w:val="center"/>
            </w:pPr>
            <w:r>
              <w:rPr>
                <w:sz w:val="20"/>
              </w:rPr>
              <w:t>2.50</w:t>
            </w:r>
          </w:p>
        </w:tc>
        <w:tc>
          <w:tcPr>
            <w:tcW w:w="3888" w:type="dxa"/>
            <w:vAlign w:val="center"/>
          </w:tcPr>
          <w:p w14:paraId="0103906D" w14:textId="77777777" w:rsidR="007D6234" w:rsidRDefault="001A5243">
            <w:r>
              <w:rPr>
                <w:sz w:val="20"/>
              </w:rPr>
              <w:t xml:space="preserve">Non-compliance can result in enforcement actions, </w:t>
            </w:r>
            <w:proofErr w:type="spellStart"/>
            <w:r>
              <w:rPr>
                <w:sz w:val="20"/>
              </w:rPr>
              <w:t>licence</w:t>
            </w:r>
            <w:proofErr w:type="spellEnd"/>
            <w:r>
              <w:rPr>
                <w:sz w:val="20"/>
              </w:rPr>
              <w:t xml:space="preserve"> restrictions, loss of correspondent banking, and franchise-threatening reputational damage at the highest severity level.</w:t>
            </w:r>
          </w:p>
        </w:tc>
      </w:tr>
      <w:tr w:rsidR="007D6234" w14:paraId="5EDC5898" w14:textId="77777777">
        <w:trPr>
          <w:jc w:val="center"/>
        </w:trPr>
        <w:tc>
          <w:tcPr>
            <w:tcW w:w="2304" w:type="dxa"/>
            <w:shd w:val="clear" w:color="auto" w:fill="F2F2F2"/>
            <w:vAlign w:val="center"/>
          </w:tcPr>
          <w:p w14:paraId="6C48D77D" w14:textId="77777777" w:rsidR="007D6234" w:rsidRDefault="001A5243">
            <w:r>
              <w:rPr>
                <w:b/>
                <w:sz w:val="20"/>
              </w:rPr>
              <w:t>Operational &amp; Technology Risk</w:t>
            </w:r>
          </w:p>
        </w:tc>
        <w:tc>
          <w:tcPr>
            <w:tcW w:w="864" w:type="dxa"/>
            <w:shd w:val="clear" w:color="auto" w:fill="F2F2F2"/>
            <w:vAlign w:val="center"/>
          </w:tcPr>
          <w:p w14:paraId="0E30A828" w14:textId="77777777" w:rsidR="007D6234" w:rsidRDefault="001A5243">
            <w:pPr>
              <w:jc w:val="center"/>
            </w:pPr>
            <w:r>
              <w:rPr>
                <w:sz w:val="20"/>
              </w:rPr>
              <w:t>20%</w:t>
            </w:r>
          </w:p>
        </w:tc>
        <w:tc>
          <w:tcPr>
            <w:tcW w:w="1584" w:type="dxa"/>
            <w:shd w:val="clear" w:color="auto" w:fill="F2F2F2"/>
            <w:vAlign w:val="center"/>
          </w:tcPr>
          <w:p w14:paraId="09055EBD" w14:textId="77777777" w:rsidR="007D6234" w:rsidRDefault="001A5243">
            <w:pPr>
              <w:jc w:val="center"/>
            </w:pPr>
            <w:r>
              <w:rPr>
                <w:sz w:val="20"/>
              </w:rPr>
              <w:t>4 – Major</w:t>
            </w:r>
          </w:p>
        </w:tc>
        <w:tc>
          <w:tcPr>
            <w:tcW w:w="1152" w:type="dxa"/>
            <w:shd w:val="clear" w:color="auto" w:fill="F2F2F2"/>
            <w:vAlign w:val="center"/>
          </w:tcPr>
          <w:p w14:paraId="5FCB5F43" w14:textId="77777777" w:rsidR="007D6234" w:rsidRDefault="001A5243">
            <w:pPr>
              <w:jc w:val="center"/>
            </w:pPr>
            <w:r>
              <w:rPr>
                <w:sz w:val="20"/>
              </w:rPr>
              <w:t>8</w:t>
            </w:r>
          </w:p>
        </w:tc>
        <w:tc>
          <w:tcPr>
            <w:tcW w:w="1152" w:type="dxa"/>
            <w:shd w:val="clear" w:color="auto" w:fill="F2F2F2"/>
            <w:vAlign w:val="center"/>
          </w:tcPr>
          <w:p w14:paraId="3B048639" w14:textId="77777777" w:rsidR="007D6234" w:rsidRDefault="001A5243">
            <w:pPr>
              <w:jc w:val="center"/>
            </w:pPr>
            <w:r>
              <w:rPr>
                <w:sz w:val="20"/>
              </w:rPr>
              <w:t>1.60</w:t>
            </w:r>
          </w:p>
        </w:tc>
        <w:tc>
          <w:tcPr>
            <w:tcW w:w="3888" w:type="dxa"/>
            <w:shd w:val="clear" w:color="auto" w:fill="F2F2F2"/>
            <w:vAlign w:val="center"/>
          </w:tcPr>
          <w:p w14:paraId="1D571225" w14:textId="77777777" w:rsidR="007D6234" w:rsidRDefault="001A5243">
            <w:r>
              <w:rPr>
                <w:sz w:val="20"/>
              </w:rPr>
              <w:t>System failures or screening gaps could lead to missed suspicious activity, resulting in regulatory consequences, customer impact, and reputational harm.</w:t>
            </w:r>
          </w:p>
        </w:tc>
      </w:tr>
      <w:tr w:rsidR="007D6234" w14:paraId="1EB6FAF7" w14:textId="77777777">
        <w:trPr>
          <w:jc w:val="center"/>
        </w:trPr>
        <w:tc>
          <w:tcPr>
            <w:tcW w:w="2304" w:type="dxa"/>
            <w:vAlign w:val="center"/>
          </w:tcPr>
          <w:p w14:paraId="768445FD" w14:textId="77777777" w:rsidR="007D6234" w:rsidRDefault="001A5243">
            <w:r>
              <w:rPr>
                <w:b/>
                <w:sz w:val="20"/>
              </w:rPr>
              <w:t>Change, Governance &amp; Third-Party Risk</w:t>
            </w:r>
          </w:p>
        </w:tc>
        <w:tc>
          <w:tcPr>
            <w:tcW w:w="864" w:type="dxa"/>
            <w:vAlign w:val="center"/>
          </w:tcPr>
          <w:p w14:paraId="1AF31760" w14:textId="77777777" w:rsidR="007D6234" w:rsidRDefault="001A5243">
            <w:pPr>
              <w:jc w:val="center"/>
            </w:pPr>
            <w:r>
              <w:rPr>
                <w:sz w:val="20"/>
              </w:rPr>
              <w:t>10%</w:t>
            </w:r>
          </w:p>
        </w:tc>
        <w:tc>
          <w:tcPr>
            <w:tcW w:w="1584" w:type="dxa"/>
            <w:vAlign w:val="center"/>
          </w:tcPr>
          <w:p w14:paraId="209E2E4B" w14:textId="77777777" w:rsidR="007D6234" w:rsidRDefault="001A5243">
            <w:pPr>
              <w:jc w:val="center"/>
            </w:pPr>
            <w:r>
              <w:rPr>
                <w:sz w:val="20"/>
              </w:rPr>
              <w:t>3 – Moderate</w:t>
            </w:r>
          </w:p>
        </w:tc>
        <w:tc>
          <w:tcPr>
            <w:tcW w:w="1152" w:type="dxa"/>
            <w:vAlign w:val="center"/>
          </w:tcPr>
          <w:p w14:paraId="1B87E3DE" w14:textId="77777777" w:rsidR="007D6234" w:rsidRDefault="001A5243">
            <w:pPr>
              <w:jc w:val="center"/>
            </w:pPr>
            <w:r>
              <w:rPr>
                <w:sz w:val="20"/>
              </w:rPr>
              <w:t>6</w:t>
            </w:r>
          </w:p>
        </w:tc>
        <w:tc>
          <w:tcPr>
            <w:tcW w:w="1152" w:type="dxa"/>
            <w:vAlign w:val="center"/>
          </w:tcPr>
          <w:p w14:paraId="57A6971B" w14:textId="77777777" w:rsidR="007D6234" w:rsidRDefault="001A5243">
            <w:pPr>
              <w:jc w:val="center"/>
            </w:pPr>
            <w:r>
              <w:rPr>
                <w:sz w:val="20"/>
              </w:rPr>
              <w:t>0.60</w:t>
            </w:r>
          </w:p>
        </w:tc>
        <w:tc>
          <w:tcPr>
            <w:tcW w:w="3888" w:type="dxa"/>
            <w:vAlign w:val="center"/>
          </w:tcPr>
          <w:p w14:paraId="1163AD54" w14:textId="77777777" w:rsidR="007D6234" w:rsidRDefault="001A5243">
            <w:r>
              <w:rPr>
                <w:sz w:val="20"/>
              </w:rPr>
              <w:t xml:space="preserve">Failed change </w:t>
            </w:r>
            <w:proofErr w:type="spellStart"/>
            <w:r>
              <w:rPr>
                <w:sz w:val="20"/>
              </w:rPr>
              <w:t>programmes</w:t>
            </w:r>
            <w:proofErr w:type="spellEnd"/>
            <w:r>
              <w:rPr>
                <w:sz w:val="20"/>
              </w:rPr>
              <w:t xml:space="preserve"> or vendor disruptions would require management intervention. Governance gaps could attract regulatory scrutiny.</w:t>
            </w:r>
          </w:p>
        </w:tc>
      </w:tr>
      <w:tr w:rsidR="007D6234" w14:paraId="2947BCA4" w14:textId="77777777">
        <w:trPr>
          <w:jc w:val="center"/>
        </w:trPr>
        <w:tc>
          <w:tcPr>
            <w:tcW w:w="2304" w:type="dxa"/>
            <w:shd w:val="clear" w:color="auto" w:fill="002B5C"/>
            <w:vAlign w:val="center"/>
          </w:tcPr>
          <w:p w14:paraId="136D1923" w14:textId="77777777" w:rsidR="007D6234" w:rsidRDefault="001A5243">
            <w:r>
              <w:rPr>
                <w:b/>
                <w:color w:val="FFFFFF"/>
                <w:sz w:val="20"/>
              </w:rPr>
              <w:t>Overall Weighted Impact</w:t>
            </w:r>
          </w:p>
        </w:tc>
        <w:tc>
          <w:tcPr>
            <w:tcW w:w="864" w:type="dxa"/>
            <w:shd w:val="clear" w:color="auto" w:fill="002B5C"/>
            <w:vAlign w:val="center"/>
          </w:tcPr>
          <w:p w14:paraId="5A39BBE3" w14:textId="77777777" w:rsidR="007D6234" w:rsidRDefault="007D6234">
            <w:pPr>
              <w:jc w:val="center"/>
            </w:pPr>
          </w:p>
        </w:tc>
        <w:tc>
          <w:tcPr>
            <w:tcW w:w="1584" w:type="dxa"/>
            <w:shd w:val="clear" w:color="auto" w:fill="002B5C"/>
            <w:vAlign w:val="center"/>
          </w:tcPr>
          <w:p w14:paraId="41C8F396" w14:textId="77777777" w:rsidR="007D6234" w:rsidRDefault="007D6234">
            <w:pPr>
              <w:jc w:val="center"/>
            </w:pPr>
          </w:p>
        </w:tc>
        <w:tc>
          <w:tcPr>
            <w:tcW w:w="1152" w:type="dxa"/>
            <w:shd w:val="clear" w:color="auto" w:fill="002B5C"/>
            <w:vAlign w:val="center"/>
          </w:tcPr>
          <w:p w14:paraId="72A3D3EC" w14:textId="77777777" w:rsidR="007D6234" w:rsidRDefault="007D6234">
            <w:pPr>
              <w:jc w:val="center"/>
            </w:pPr>
          </w:p>
        </w:tc>
        <w:tc>
          <w:tcPr>
            <w:tcW w:w="1152" w:type="dxa"/>
            <w:shd w:val="clear" w:color="auto" w:fill="002B5C"/>
            <w:vAlign w:val="center"/>
          </w:tcPr>
          <w:p w14:paraId="6151C730" w14:textId="77777777" w:rsidR="007D6234" w:rsidRDefault="001A5243">
            <w:pPr>
              <w:jc w:val="center"/>
            </w:pPr>
            <w:r>
              <w:rPr>
                <w:b/>
                <w:color w:val="FFFFFF"/>
                <w:sz w:val="20"/>
              </w:rPr>
              <w:t>8.30</w:t>
            </w:r>
          </w:p>
        </w:tc>
        <w:tc>
          <w:tcPr>
            <w:tcW w:w="3888" w:type="dxa"/>
            <w:shd w:val="clear" w:color="auto" w:fill="002B5C"/>
            <w:vAlign w:val="center"/>
          </w:tcPr>
          <w:p w14:paraId="0D0B940D" w14:textId="77777777" w:rsidR="007D6234" w:rsidRDefault="007D6234">
            <w:pPr>
              <w:jc w:val="center"/>
            </w:pPr>
          </w:p>
        </w:tc>
      </w:tr>
    </w:tbl>
    <w:p w14:paraId="0E27B00A" w14:textId="77777777" w:rsidR="007D6234" w:rsidRDefault="007D6234"/>
    <w:p w14:paraId="1150718C" w14:textId="77777777" w:rsidR="007D6234" w:rsidRDefault="001A5243">
      <w:pPr>
        <w:pStyle w:val="Heading2"/>
      </w:pPr>
      <w:r>
        <w:rPr>
          <w:rFonts w:ascii="Calibri" w:hAnsi="Calibri"/>
          <w:color w:val="002B5C"/>
        </w:rPr>
        <w:t>1.C  Overall Inherent Risk Score</w:t>
      </w:r>
    </w:p>
    <w:p w14:paraId="533D59B0" w14:textId="3A4CE12F" w:rsidR="007D6234" w:rsidRDefault="001A5243">
      <w:r>
        <w:t>Inherent Risk  =  (Weighted Likelihood + Weighted Impact) / 2  =  (</w:t>
      </w:r>
      <w:r w:rsidR="00D65D03">
        <w:t>7</w:t>
      </w:r>
      <w:r>
        <w:t>.</w:t>
      </w:r>
      <w:r w:rsidR="00D65D03">
        <w:t>9</w:t>
      </w:r>
      <w:r>
        <w:t xml:space="preserve">0 + 8.30) / 2  =  </w:t>
      </w:r>
      <w:r>
        <w:rPr>
          <w:b/>
          <w:color w:val="C00000"/>
          <w:sz w:val="24"/>
        </w:rPr>
        <w:t>8.</w:t>
      </w:r>
      <w:r w:rsidR="007F779F">
        <w:rPr>
          <w:b/>
          <w:color w:val="C00000"/>
          <w:sz w:val="24"/>
        </w:rPr>
        <w:t>1</w:t>
      </w:r>
      <w:r>
        <w:rPr>
          <w:b/>
          <w:color w:val="C00000"/>
          <w:sz w:val="24"/>
        </w:rPr>
        <w:t>0</w:t>
      </w:r>
    </w:p>
    <w:p w14:paraId="3B6C887D" w14:textId="77777777" w:rsidR="007D6234" w:rsidRDefault="001A5243">
      <w:r>
        <w:t xml:space="preserve">Inherent Risk Band: </w:t>
      </w:r>
      <w:r>
        <w:rPr>
          <w:b/>
          <w:color w:val="C00000"/>
        </w:rPr>
        <w:t>7.99 – 9.00 → HIGH → Inherent Risk Score = 4</w:t>
      </w:r>
    </w:p>
    <w:p w14:paraId="60061E4C" w14:textId="77777777" w:rsidR="007D6234" w:rsidRDefault="007D6234"/>
    <w:p w14:paraId="45366450" w14:textId="77777777" w:rsidR="007D6234" w:rsidRDefault="001A5243">
      <w:r>
        <w:rPr>
          <w:b/>
          <w:color w:val="002B5C"/>
        </w:rPr>
        <w:t>Inherent Risk Rating Bands (Reference)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7D6234" w14:paraId="2BE8DB49" w14:textId="77777777">
        <w:trPr>
          <w:jc w:val="center"/>
        </w:trPr>
        <w:tc>
          <w:tcPr>
            <w:tcW w:w="2880" w:type="dxa"/>
            <w:shd w:val="clear" w:color="auto" w:fill="002B5C"/>
            <w:vAlign w:val="center"/>
          </w:tcPr>
          <w:p w14:paraId="5330918F" w14:textId="77777777" w:rsidR="007D6234" w:rsidRDefault="001A5243">
            <w:pPr>
              <w:jc w:val="center"/>
            </w:pPr>
            <w:r>
              <w:rPr>
                <w:b/>
                <w:color w:val="FFFFFF"/>
                <w:sz w:val="20"/>
              </w:rPr>
              <w:t>Inherent Risk Rating</w:t>
            </w:r>
          </w:p>
        </w:tc>
        <w:tc>
          <w:tcPr>
            <w:tcW w:w="2880" w:type="dxa"/>
            <w:shd w:val="clear" w:color="auto" w:fill="002B5C"/>
            <w:vAlign w:val="center"/>
          </w:tcPr>
          <w:p w14:paraId="4C97A0E3" w14:textId="77777777" w:rsidR="007D6234" w:rsidRDefault="001A5243">
            <w:pPr>
              <w:jc w:val="center"/>
            </w:pPr>
            <w:r>
              <w:rPr>
                <w:b/>
                <w:color w:val="FFFFFF"/>
                <w:sz w:val="20"/>
              </w:rPr>
              <w:t>Rating Bands</w:t>
            </w:r>
          </w:p>
        </w:tc>
        <w:tc>
          <w:tcPr>
            <w:tcW w:w="2880" w:type="dxa"/>
            <w:shd w:val="clear" w:color="auto" w:fill="002B5C"/>
            <w:vAlign w:val="center"/>
          </w:tcPr>
          <w:p w14:paraId="4AFA814B" w14:textId="77777777" w:rsidR="007D6234" w:rsidRDefault="001A5243">
            <w:pPr>
              <w:jc w:val="center"/>
            </w:pPr>
            <w:r>
              <w:rPr>
                <w:b/>
                <w:color w:val="FFFFFF"/>
                <w:sz w:val="20"/>
              </w:rPr>
              <w:t>Inherent Risk Score</w:t>
            </w:r>
          </w:p>
        </w:tc>
      </w:tr>
      <w:tr w:rsidR="007D6234" w14:paraId="6BB87FC1" w14:textId="77777777">
        <w:trPr>
          <w:jc w:val="center"/>
        </w:trPr>
        <w:tc>
          <w:tcPr>
            <w:tcW w:w="2880" w:type="dxa"/>
            <w:vAlign w:val="center"/>
          </w:tcPr>
          <w:p w14:paraId="4F37B18A" w14:textId="77777777" w:rsidR="007D6234" w:rsidRDefault="001A5243">
            <w:r>
              <w:rPr>
                <w:sz w:val="20"/>
              </w:rPr>
              <w:t>Very Low</w:t>
            </w:r>
          </w:p>
        </w:tc>
        <w:tc>
          <w:tcPr>
            <w:tcW w:w="2880" w:type="dxa"/>
            <w:vAlign w:val="center"/>
          </w:tcPr>
          <w:p w14:paraId="6A1F98D9" w14:textId="77777777" w:rsidR="007D6234" w:rsidRDefault="001A5243">
            <w:pPr>
              <w:jc w:val="center"/>
            </w:pPr>
            <w:r>
              <w:rPr>
                <w:sz w:val="20"/>
              </w:rPr>
              <w:t>0 to 2</w:t>
            </w:r>
          </w:p>
        </w:tc>
        <w:tc>
          <w:tcPr>
            <w:tcW w:w="2880" w:type="dxa"/>
            <w:vAlign w:val="center"/>
          </w:tcPr>
          <w:p w14:paraId="649841BE" w14:textId="77777777" w:rsidR="007D6234" w:rsidRDefault="001A5243">
            <w:r>
              <w:rPr>
                <w:sz w:val="20"/>
              </w:rPr>
              <w:t>1</w:t>
            </w:r>
          </w:p>
        </w:tc>
      </w:tr>
      <w:tr w:rsidR="007D6234" w14:paraId="622193F8" w14:textId="77777777">
        <w:trPr>
          <w:jc w:val="center"/>
        </w:trPr>
        <w:tc>
          <w:tcPr>
            <w:tcW w:w="2880" w:type="dxa"/>
            <w:shd w:val="clear" w:color="auto" w:fill="F2F2F2"/>
            <w:vAlign w:val="center"/>
          </w:tcPr>
          <w:p w14:paraId="1E16C85B" w14:textId="77777777" w:rsidR="007D6234" w:rsidRDefault="001A5243">
            <w:r>
              <w:rPr>
                <w:sz w:val="20"/>
              </w:rPr>
              <w:t>Low</w:t>
            </w:r>
          </w:p>
        </w:tc>
        <w:tc>
          <w:tcPr>
            <w:tcW w:w="2880" w:type="dxa"/>
            <w:shd w:val="clear" w:color="auto" w:fill="F2F2F2"/>
            <w:vAlign w:val="center"/>
          </w:tcPr>
          <w:p w14:paraId="0F0B9E5D" w14:textId="77777777" w:rsidR="007D6234" w:rsidRDefault="001A5243">
            <w:pPr>
              <w:jc w:val="center"/>
            </w:pPr>
            <w:r>
              <w:rPr>
                <w:sz w:val="20"/>
              </w:rPr>
              <w:t>2.01 to 5</w:t>
            </w:r>
          </w:p>
        </w:tc>
        <w:tc>
          <w:tcPr>
            <w:tcW w:w="2880" w:type="dxa"/>
            <w:shd w:val="clear" w:color="auto" w:fill="F2F2F2"/>
            <w:vAlign w:val="center"/>
          </w:tcPr>
          <w:p w14:paraId="18F999B5" w14:textId="77777777" w:rsidR="007D6234" w:rsidRDefault="001A5243">
            <w:r>
              <w:rPr>
                <w:sz w:val="20"/>
              </w:rPr>
              <w:t>2</w:t>
            </w:r>
          </w:p>
        </w:tc>
      </w:tr>
      <w:tr w:rsidR="007D6234" w14:paraId="7FE8C89A" w14:textId="77777777">
        <w:trPr>
          <w:jc w:val="center"/>
        </w:trPr>
        <w:tc>
          <w:tcPr>
            <w:tcW w:w="2880" w:type="dxa"/>
            <w:vAlign w:val="center"/>
          </w:tcPr>
          <w:p w14:paraId="19497B9C" w14:textId="77777777" w:rsidR="007D6234" w:rsidRDefault="001A5243">
            <w:r>
              <w:rPr>
                <w:sz w:val="20"/>
              </w:rPr>
              <w:t>Medium</w:t>
            </w:r>
          </w:p>
        </w:tc>
        <w:tc>
          <w:tcPr>
            <w:tcW w:w="2880" w:type="dxa"/>
            <w:vAlign w:val="center"/>
          </w:tcPr>
          <w:p w14:paraId="551A548B" w14:textId="77777777" w:rsidR="007D6234" w:rsidRDefault="001A5243">
            <w:pPr>
              <w:jc w:val="center"/>
            </w:pPr>
            <w:r>
              <w:rPr>
                <w:sz w:val="20"/>
              </w:rPr>
              <w:t>5.01 to 7.98</w:t>
            </w:r>
          </w:p>
        </w:tc>
        <w:tc>
          <w:tcPr>
            <w:tcW w:w="2880" w:type="dxa"/>
            <w:vAlign w:val="center"/>
          </w:tcPr>
          <w:p w14:paraId="5FCD5EC4" w14:textId="77777777" w:rsidR="007D6234" w:rsidRDefault="001A5243">
            <w:r>
              <w:rPr>
                <w:sz w:val="20"/>
              </w:rPr>
              <w:t>3</w:t>
            </w:r>
          </w:p>
        </w:tc>
      </w:tr>
      <w:tr w:rsidR="007D6234" w14:paraId="65C6D8FF" w14:textId="77777777">
        <w:trPr>
          <w:jc w:val="center"/>
        </w:trPr>
        <w:tc>
          <w:tcPr>
            <w:tcW w:w="2880" w:type="dxa"/>
            <w:shd w:val="clear" w:color="auto" w:fill="FFC7CE"/>
            <w:vAlign w:val="center"/>
          </w:tcPr>
          <w:p w14:paraId="7E177962" w14:textId="77777777" w:rsidR="007D6234" w:rsidRDefault="001A5243">
            <w:pPr>
              <w:jc w:val="center"/>
            </w:pPr>
            <w:r>
              <w:rPr>
                <w:b/>
                <w:color w:val="9C0006"/>
                <w:sz w:val="20"/>
              </w:rPr>
              <w:t>High</w:t>
            </w:r>
          </w:p>
        </w:tc>
        <w:tc>
          <w:tcPr>
            <w:tcW w:w="2880" w:type="dxa"/>
            <w:shd w:val="clear" w:color="auto" w:fill="FFC7CE"/>
            <w:vAlign w:val="center"/>
          </w:tcPr>
          <w:p w14:paraId="4E400A26" w14:textId="77777777" w:rsidR="007D6234" w:rsidRDefault="001A5243">
            <w:pPr>
              <w:jc w:val="center"/>
            </w:pPr>
            <w:r>
              <w:rPr>
                <w:b/>
                <w:color w:val="9C0006"/>
                <w:sz w:val="20"/>
              </w:rPr>
              <w:t>7.99 to 9</w:t>
            </w:r>
          </w:p>
        </w:tc>
        <w:tc>
          <w:tcPr>
            <w:tcW w:w="2880" w:type="dxa"/>
            <w:shd w:val="clear" w:color="auto" w:fill="FFC7CE"/>
            <w:vAlign w:val="center"/>
          </w:tcPr>
          <w:p w14:paraId="2598DEE6" w14:textId="77777777" w:rsidR="007D6234" w:rsidRDefault="001A5243">
            <w:pPr>
              <w:jc w:val="center"/>
            </w:pPr>
            <w:r>
              <w:rPr>
                <w:b/>
                <w:color w:val="9C0006"/>
                <w:sz w:val="20"/>
              </w:rPr>
              <w:t>4</w:t>
            </w:r>
          </w:p>
        </w:tc>
      </w:tr>
      <w:tr w:rsidR="007D6234" w14:paraId="1C6ECA27" w14:textId="77777777">
        <w:trPr>
          <w:jc w:val="center"/>
        </w:trPr>
        <w:tc>
          <w:tcPr>
            <w:tcW w:w="2880" w:type="dxa"/>
            <w:vAlign w:val="center"/>
          </w:tcPr>
          <w:p w14:paraId="2B4D6EB9" w14:textId="77777777" w:rsidR="007D6234" w:rsidRDefault="001A5243">
            <w:r>
              <w:rPr>
                <w:sz w:val="20"/>
              </w:rPr>
              <w:t>Very High</w:t>
            </w:r>
          </w:p>
        </w:tc>
        <w:tc>
          <w:tcPr>
            <w:tcW w:w="2880" w:type="dxa"/>
            <w:vAlign w:val="center"/>
          </w:tcPr>
          <w:p w14:paraId="1ABD8FA0" w14:textId="77777777" w:rsidR="007D6234" w:rsidRDefault="001A5243">
            <w:pPr>
              <w:jc w:val="center"/>
            </w:pPr>
            <w:r>
              <w:rPr>
                <w:sz w:val="20"/>
              </w:rPr>
              <w:t>9.01 to 10</w:t>
            </w:r>
          </w:p>
        </w:tc>
        <w:tc>
          <w:tcPr>
            <w:tcW w:w="2880" w:type="dxa"/>
            <w:vAlign w:val="center"/>
          </w:tcPr>
          <w:p w14:paraId="78941E47" w14:textId="77777777" w:rsidR="007D6234" w:rsidRDefault="001A5243">
            <w:r>
              <w:rPr>
                <w:sz w:val="20"/>
              </w:rPr>
              <w:t>5</w:t>
            </w:r>
          </w:p>
        </w:tc>
      </w:tr>
    </w:tbl>
    <w:p w14:paraId="44EAFD9C" w14:textId="77777777" w:rsidR="007D6234" w:rsidRDefault="007D6234"/>
    <w:p w14:paraId="367D7A5E" w14:textId="77777777" w:rsidR="007D6234" w:rsidRDefault="001A5243">
      <w:pPr>
        <w:pStyle w:val="Heading1"/>
      </w:pPr>
      <w:r>
        <w:rPr>
          <w:rFonts w:ascii="Calibri" w:hAnsi="Calibri"/>
          <w:color w:val="002B5C"/>
        </w:rPr>
        <w:lastRenderedPageBreak/>
        <w:t>2. Control Environment Assessment</w:t>
      </w:r>
    </w:p>
    <w:p w14:paraId="3D689F47" w14:textId="77777777" w:rsidR="007D6234" w:rsidRDefault="001A5243">
      <w:pPr>
        <w:spacing w:after="120"/>
      </w:pPr>
      <w:r>
        <w:t>Control Environment is assessed based on integrity, ethical values and competence of the entity's people; management's philosophy and operating style; how authority and responsibility are assigned; and the attention and direction provided by the Board of Directors.</w:t>
      </w:r>
    </w:p>
    <w:p w14:paraId="225A672A" w14:textId="77777777" w:rsidR="007D6234" w:rsidRDefault="001A5243">
      <w:r>
        <w:t xml:space="preserve">Last Audit Report Rating: </w:t>
      </w:r>
      <w:r>
        <w:rPr>
          <w:b/>
          <w:color w:val="ED7D31"/>
        </w:rPr>
        <w:t>Needs Improvement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5760"/>
      </w:tblGrid>
      <w:tr w:rsidR="007D6234" w14:paraId="4F564882" w14:textId="77777777">
        <w:trPr>
          <w:jc w:val="center"/>
        </w:trPr>
        <w:tc>
          <w:tcPr>
            <w:tcW w:w="2160" w:type="dxa"/>
            <w:shd w:val="clear" w:color="auto" w:fill="002B5C"/>
            <w:vAlign w:val="center"/>
          </w:tcPr>
          <w:p w14:paraId="69B875D4" w14:textId="77777777" w:rsidR="007D6234" w:rsidRDefault="001A5243">
            <w:pPr>
              <w:jc w:val="center"/>
            </w:pPr>
            <w:r>
              <w:rPr>
                <w:b/>
                <w:color w:val="FFFFFF"/>
                <w:sz w:val="20"/>
              </w:rPr>
              <w:t>Rating</w:t>
            </w:r>
          </w:p>
        </w:tc>
        <w:tc>
          <w:tcPr>
            <w:tcW w:w="5760" w:type="dxa"/>
            <w:shd w:val="clear" w:color="auto" w:fill="002B5C"/>
            <w:vAlign w:val="center"/>
          </w:tcPr>
          <w:p w14:paraId="31FF54C8" w14:textId="77777777" w:rsidR="007D6234" w:rsidRDefault="001A5243">
            <w:pPr>
              <w:jc w:val="center"/>
            </w:pPr>
            <w:r>
              <w:rPr>
                <w:b/>
                <w:color w:val="FFFFFF"/>
                <w:sz w:val="20"/>
              </w:rPr>
              <w:t>Description</w:t>
            </w:r>
          </w:p>
        </w:tc>
      </w:tr>
      <w:tr w:rsidR="007D6234" w14:paraId="5F14A291" w14:textId="77777777">
        <w:trPr>
          <w:jc w:val="center"/>
        </w:trPr>
        <w:tc>
          <w:tcPr>
            <w:tcW w:w="2160" w:type="dxa"/>
            <w:vAlign w:val="center"/>
          </w:tcPr>
          <w:p w14:paraId="56B20A0C" w14:textId="77777777" w:rsidR="007D6234" w:rsidRDefault="001A5243">
            <w:pPr>
              <w:jc w:val="center"/>
            </w:pPr>
            <w:r>
              <w:rPr>
                <w:sz w:val="20"/>
              </w:rPr>
              <w:t>1</w:t>
            </w:r>
          </w:p>
        </w:tc>
        <w:tc>
          <w:tcPr>
            <w:tcW w:w="5760" w:type="dxa"/>
            <w:vAlign w:val="center"/>
          </w:tcPr>
          <w:p w14:paraId="56734AED" w14:textId="77777777" w:rsidR="007D6234" w:rsidRDefault="001A5243">
            <w:r>
              <w:rPr>
                <w:sz w:val="20"/>
              </w:rPr>
              <w:t>Satisfactory</w:t>
            </w:r>
          </w:p>
        </w:tc>
      </w:tr>
      <w:tr w:rsidR="007D6234" w14:paraId="44736BBC" w14:textId="77777777">
        <w:trPr>
          <w:jc w:val="center"/>
        </w:trPr>
        <w:tc>
          <w:tcPr>
            <w:tcW w:w="2160" w:type="dxa"/>
            <w:shd w:val="clear" w:color="auto" w:fill="FFF2CC"/>
            <w:vAlign w:val="center"/>
          </w:tcPr>
          <w:p w14:paraId="7144751B" w14:textId="77777777" w:rsidR="007D6234" w:rsidRDefault="001A5243">
            <w:pPr>
              <w:jc w:val="center"/>
            </w:pPr>
            <w:r>
              <w:rPr>
                <w:b/>
                <w:color w:val="ED7D31"/>
                <w:sz w:val="20"/>
              </w:rPr>
              <w:t>2</w:t>
            </w:r>
          </w:p>
        </w:tc>
        <w:tc>
          <w:tcPr>
            <w:tcW w:w="5760" w:type="dxa"/>
            <w:shd w:val="clear" w:color="auto" w:fill="FFF2CC"/>
            <w:vAlign w:val="center"/>
          </w:tcPr>
          <w:p w14:paraId="5E7632C9" w14:textId="77777777" w:rsidR="007D6234" w:rsidRDefault="001A5243">
            <w:r>
              <w:rPr>
                <w:b/>
                <w:color w:val="ED7D31"/>
                <w:sz w:val="20"/>
              </w:rPr>
              <w:t>Needs Improvement</w:t>
            </w:r>
          </w:p>
        </w:tc>
      </w:tr>
      <w:tr w:rsidR="007D6234" w14:paraId="3348CA76" w14:textId="77777777">
        <w:trPr>
          <w:jc w:val="center"/>
        </w:trPr>
        <w:tc>
          <w:tcPr>
            <w:tcW w:w="2160" w:type="dxa"/>
            <w:vAlign w:val="center"/>
          </w:tcPr>
          <w:p w14:paraId="0B778152" w14:textId="77777777" w:rsidR="007D6234" w:rsidRDefault="001A5243">
            <w:pPr>
              <w:jc w:val="center"/>
            </w:pPr>
            <w:r>
              <w:rPr>
                <w:sz w:val="20"/>
              </w:rPr>
              <w:t>3</w:t>
            </w:r>
          </w:p>
        </w:tc>
        <w:tc>
          <w:tcPr>
            <w:tcW w:w="5760" w:type="dxa"/>
            <w:vAlign w:val="center"/>
          </w:tcPr>
          <w:p w14:paraId="712DB257" w14:textId="77777777" w:rsidR="007D6234" w:rsidRDefault="001A5243">
            <w:r>
              <w:rPr>
                <w:sz w:val="20"/>
              </w:rPr>
              <w:t>Needs Significant Improvement</w:t>
            </w:r>
          </w:p>
        </w:tc>
      </w:tr>
      <w:tr w:rsidR="007D6234" w14:paraId="2DD34E4C" w14:textId="77777777">
        <w:trPr>
          <w:jc w:val="center"/>
        </w:trPr>
        <w:tc>
          <w:tcPr>
            <w:tcW w:w="2160" w:type="dxa"/>
            <w:shd w:val="clear" w:color="auto" w:fill="F2F2F2"/>
            <w:vAlign w:val="center"/>
          </w:tcPr>
          <w:p w14:paraId="279935FF" w14:textId="77777777" w:rsidR="007D6234" w:rsidRDefault="001A5243">
            <w:pPr>
              <w:jc w:val="center"/>
            </w:pPr>
            <w:r>
              <w:rPr>
                <w:sz w:val="20"/>
              </w:rPr>
              <w:t>4</w:t>
            </w:r>
          </w:p>
        </w:tc>
        <w:tc>
          <w:tcPr>
            <w:tcW w:w="5760" w:type="dxa"/>
            <w:shd w:val="clear" w:color="auto" w:fill="F2F2F2"/>
            <w:vAlign w:val="center"/>
          </w:tcPr>
          <w:p w14:paraId="5811B3A4" w14:textId="77777777" w:rsidR="007D6234" w:rsidRDefault="001A5243">
            <w:r>
              <w:rPr>
                <w:sz w:val="20"/>
              </w:rPr>
              <w:t>Unsatisfactory</w:t>
            </w:r>
          </w:p>
        </w:tc>
      </w:tr>
    </w:tbl>
    <w:p w14:paraId="3CF9F376" w14:textId="77777777" w:rsidR="007D6234" w:rsidRDefault="001A5243">
      <w:pPr>
        <w:spacing w:before="160"/>
      </w:pPr>
      <w:r>
        <w:t xml:space="preserve">Control Environment Rating = </w:t>
      </w:r>
      <w:r>
        <w:rPr>
          <w:b/>
          <w:color w:val="ED7D31"/>
          <w:sz w:val="24"/>
        </w:rPr>
        <w:t>2 (Needs Improvement)</w:t>
      </w:r>
    </w:p>
    <w:p w14:paraId="4B94D5A5" w14:textId="77777777" w:rsidR="007D6234" w:rsidRDefault="007D6234"/>
    <w:p w14:paraId="238D6B58" w14:textId="77777777" w:rsidR="007D6234" w:rsidRDefault="001A5243">
      <w:pPr>
        <w:pStyle w:val="Heading1"/>
      </w:pPr>
      <w:r>
        <w:rPr>
          <w:rFonts w:ascii="Calibri" w:hAnsi="Calibri"/>
          <w:color w:val="002B5C"/>
        </w:rPr>
        <w:t>3. Residual Risk Derivation</w:t>
      </w:r>
    </w:p>
    <w:p w14:paraId="7101E01A" w14:textId="77777777" w:rsidR="007D6234" w:rsidRDefault="001A5243">
      <w:r>
        <w:t>Residual Risk is derived by multiplying the Inherent Risk Score (1–5) with the Control Environment Rating (1–4).</w:t>
      </w:r>
    </w:p>
    <w:p w14:paraId="6FE8C29C" w14:textId="77777777" w:rsidR="007D6234" w:rsidRDefault="001A5243">
      <w:pPr>
        <w:spacing w:after="240"/>
      </w:pPr>
      <w:r>
        <w:t xml:space="preserve">Residual Risk  =  Inherent Risk Score × Control Environment  =  4 × 2  =  </w:t>
      </w:r>
      <w:r>
        <w:rPr>
          <w:b/>
          <w:color w:val="C00000"/>
          <w:sz w:val="26"/>
        </w:rPr>
        <w:t>8  →  HIGH</w:t>
      </w:r>
    </w:p>
    <w:p w14:paraId="47183C38" w14:textId="77777777" w:rsidR="007D6234" w:rsidRDefault="001A5243">
      <w:r>
        <w:rPr>
          <w:b/>
          <w:color w:val="002B5C"/>
        </w:rPr>
        <w:t>Residual Risk Matrix (Inherent Risk Score × Control Environment)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1584"/>
        <w:gridCol w:w="1584"/>
        <w:gridCol w:w="1584"/>
        <w:gridCol w:w="1584"/>
      </w:tblGrid>
      <w:tr w:rsidR="007D6234" w14:paraId="424A2B4C" w14:textId="77777777">
        <w:trPr>
          <w:jc w:val="center"/>
        </w:trPr>
        <w:tc>
          <w:tcPr>
            <w:tcW w:w="2592" w:type="dxa"/>
            <w:shd w:val="clear" w:color="auto" w:fill="002B5C"/>
            <w:vAlign w:val="center"/>
          </w:tcPr>
          <w:p w14:paraId="6537BED1" w14:textId="77777777" w:rsidR="007D6234" w:rsidRDefault="001A5243">
            <w:pPr>
              <w:jc w:val="center"/>
            </w:pPr>
            <w:r>
              <w:rPr>
                <w:b/>
                <w:color w:val="FFFFFF"/>
                <w:sz w:val="20"/>
              </w:rPr>
              <w:t>Inherent Risk Score</w:t>
            </w:r>
          </w:p>
        </w:tc>
        <w:tc>
          <w:tcPr>
            <w:tcW w:w="1584" w:type="dxa"/>
            <w:shd w:val="clear" w:color="auto" w:fill="002B5C"/>
            <w:vAlign w:val="center"/>
          </w:tcPr>
          <w:p w14:paraId="3FA8DB8E" w14:textId="77777777" w:rsidR="007D6234" w:rsidRDefault="001A5243">
            <w:pPr>
              <w:jc w:val="center"/>
            </w:pPr>
            <w:r>
              <w:rPr>
                <w:b/>
                <w:color w:val="FFFFFF"/>
                <w:sz w:val="20"/>
              </w:rPr>
              <w:t>Sat (1)</w:t>
            </w:r>
          </w:p>
        </w:tc>
        <w:tc>
          <w:tcPr>
            <w:tcW w:w="1584" w:type="dxa"/>
            <w:shd w:val="clear" w:color="auto" w:fill="002B5C"/>
            <w:vAlign w:val="center"/>
          </w:tcPr>
          <w:p w14:paraId="647FFC3F" w14:textId="77777777" w:rsidR="007D6234" w:rsidRDefault="001A5243">
            <w:pPr>
              <w:jc w:val="center"/>
            </w:pPr>
            <w:r>
              <w:rPr>
                <w:b/>
                <w:color w:val="FFFFFF"/>
                <w:sz w:val="20"/>
              </w:rPr>
              <w:t>NI (2)</w:t>
            </w:r>
          </w:p>
        </w:tc>
        <w:tc>
          <w:tcPr>
            <w:tcW w:w="1584" w:type="dxa"/>
            <w:shd w:val="clear" w:color="auto" w:fill="002B5C"/>
            <w:vAlign w:val="center"/>
          </w:tcPr>
          <w:p w14:paraId="11F30FC8" w14:textId="77777777" w:rsidR="007D6234" w:rsidRDefault="001A5243">
            <w:pPr>
              <w:jc w:val="center"/>
            </w:pPr>
            <w:r>
              <w:rPr>
                <w:b/>
                <w:color w:val="FFFFFF"/>
                <w:sz w:val="20"/>
              </w:rPr>
              <w:t>NSI (3)</w:t>
            </w:r>
          </w:p>
        </w:tc>
        <w:tc>
          <w:tcPr>
            <w:tcW w:w="1584" w:type="dxa"/>
            <w:shd w:val="clear" w:color="auto" w:fill="002B5C"/>
            <w:vAlign w:val="center"/>
          </w:tcPr>
          <w:p w14:paraId="155BBDAE" w14:textId="77777777" w:rsidR="007D6234" w:rsidRDefault="001A5243">
            <w:pPr>
              <w:jc w:val="center"/>
            </w:pPr>
            <w:proofErr w:type="spellStart"/>
            <w:r>
              <w:rPr>
                <w:b/>
                <w:color w:val="FFFFFF"/>
                <w:sz w:val="20"/>
              </w:rPr>
              <w:t>UnSat</w:t>
            </w:r>
            <w:proofErr w:type="spellEnd"/>
            <w:r>
              <w:rPr>
                <w:b/>
                <w:color w:val="FFFFFF"/>
                <w:sz w:val="20"/>
              </w:rPr>
              <w:t xml:space="preserve"> (4)</w:t>
            </w:r>
          </w:p>
        </w:tc>
      </w:tr>
      <w:tr w:rsidR="007D6234" w14:paraId="57AD92CD" w14:textId="77777777">
        <w:trPr>
          <w:jc w:val="center"/>
        </w:trPr>
        <w:tc>
          <w:tcPr>
            <w:tcW w:w="2592" w:type="dxa"/>
            <w:vAlign w:val="center"/>
          </w:tcPr>
          <w:p w14:paraId="45C5F71C" w14:textId="77777777" w:rsidR="007D6234" w:rsidRDefault="001A5243">
            <w:r>
              <w:rPr>
                <w:b/>
                <w:sz w:val="20"/>
              </w:rPr>
              <w:t>1 – Very Low</w:t>
            </w:r>
          </w:p>
        </w:tc>
        <w:tc>
          <w:tcPr>
            <w:tcW w:w="1584" w:type="dxa"/>
            <w:shd w:val="clear" w:color="auto" w:fill="C6EFCE"/>
            <w:vAlign w:val="center"/>
          </w:tcPr>
          <w:p w14:paraId="249FAAB8" w14:textId="77777777" w:rsidR="007D6234" w:rsidRDefault="001A5243">
            <w:pPr>
              <w:jc w:val="center"/>
            </w:pPr>
            <w:r>
              <w:rPr>
                <w:color w:val="006100"/>
                <w:sz w:val="20"/>
              </w:rPr>
              <w:t>1</w:t>
            </w:r>
          </w:p>
        </w:tc>
        <w:tc>
          <w:tcPr>
            <w:tcW w:w="1584" w:type="dxa"/>
            <w:shd w:val="clear" w:color="auto" w:fill="C6EFCE"/>
            <w:vAlign w:val="center"/>
          </w:tcPr>
          <w:p w14:paraId="78E884CA" w14:textId="77777777" w:rsidR="007D6234" w:rsidRDefault="001A5243">
            <w:pPr>
              <w:jc w:val="center"/>
            </w:pPr>
            <w:r>
              <w:rPr>
                <w:color w:val="006100"/>
                <w:sz w:val="20"/>
              </w:rPr>
              <w:t>2</w:t>
            </w:r>
          </w:p>
        </w:tc>
        <w:tc>
          <w:tcPr>
            <w:tcW w:w="1584" w:type="dxa"/>
            <w:shd w:val="clear" w:color="auto" w:fill="C6EFCE"/>
            <w:vAlign w:val="center"/>
          </w:tcPr>
          <w:p w14:paraId="7A036E3D" w14:textId="77777777" w:rsidR="007D6234" w:rsidRDefault="001A5243">
            <w:pPr>
              <w:jc w:val="center"/>
            </w:pPr>
            <w:r>
              <w:rPr>
                <w:color w:val="006100"/>
                <w:sz w:val="20"/>
              </w:rPr>
              <w:t>3</w:t>
            </w:r>
          </w:p>
        </w:tc>
        <w:tc>
          <w:tcPr>
            <w:tcW w:w="1584" w:type="dxa"/>
            <w:shd w:val="clear" w:color="auto" w:fill="FFFF99"/>
            <w:vAlign w:val="center"/>
          </w:tcPr>
          <w:p w14:paraId="7C964D78" w14:textId="77777777" w:rsidR="007D6234" w:rsidRDefault="001A5243">
            <w:pPr>
              <w:jc w:val="center"/>
            </w:pPr>
            <w:r>
              <w:rPr>
                <w:color w:val="9C6B00"/>
                <w:sz w:val="20"/>
              </w:rPr>
              <w:t>4</w:t>
            </w:r>
          </w:p>
        </w:tc>
      </w:tr>
      <w:tr w:rsidR="007D6234" w14:paraId="77B03293" w14:textId="77777777">
        <w:trPr>
          <w:jc w:val="center"/>
        </w:trPr>
        <w:tc>
          <w:tcPr>
            <w:tcW w:w="2592" w:type="dxa"/>
            <w:vAlign w:val="center"/>
          </w:tcPr>
          <w:p w14:paraId="4D08F059" w14:textId="77777777" w:rsidR="007D6234" w:rsidRDefault="001A5243">
            <w:r>
              <w:rPr>
                <w:b/>
                <w:sz w:val="20"/>
              </w:rPr>
              <w:t>2 – Low</w:t>
            </w:r>
          </w:p>
        </w:tc>
        <w:tc>
          <w:tcPr>
            <w:tcW w:w="1584" w:type="dxa"/>
            <w:shd w:val="clear" w:color="auto" w:fill="C6EFCE"/>
            <w:vAlign w:val="center"/>
          </w:tcPr>
          <w:p w14:paraId="7842F596" w14:textId="77777777" w:rsidR="007D6234" w:rsidRDefault="001A5243">
            <w:pPr>
              <w:jc w:val="center"/>
            </w:pPr>
            <w:r>
              <w:rPr>
                <w:color w:val="006100"/>
                <w:sz w:val="20"/>
              </w:rPr>
              <w:t>2</w:t>
            </w:r>
          </w:p>
        </w:tc>
        <w:tc>
          <w:tcPr>
            <w:tcW w:w="1584" w:type="dxa"/>
            <w:shd w:val="clear" w:color="auto" w:fill="FFFF99"/>
            <w:vAlign w:val="center"/>
          </w:tcPr>
          <w:p w14:paraId="17310F6F" w14:textId="77777777" w:rsidR="007D6234" w:rsidRDefault="001A5243">
            <w:pPr>
              <w:jc w:val="center"/>
            </w:pPr>
            <w:r>
              <w:rPr>
                <w:color w:val="9C6B00"/>
                <w:sz w:val="20"/>
              </w:rPr>
              <w:t>4</w:t>
            </w:r>
          </w:p>
        </w:tc>
        <w:tc>
          <w:tcPr>
            <w:tcW w:w="1584" w:type="dxa"/>
            <w:shd w:val="clear" w:color="auto" w:fill="FFFF99"/>
            <w:vAlign w:val="center"/>
          </w:tcPr>
          <w:p w14:paraId="1946A7AE" w14:textId="77777777" w:rsidR="007D6234" w:rsidRDefault="001A5243">
            <w:pPr>
              <w:jc w:val="center"/>
            </w:pPr>
            <w:r>
              <w:rPr>
                <w:color w:val="9C6B00"/>
                <w:sz w:val="20"/>
              </w:rPr>
              <w:t>6</w:t>
            </w:r>
          </w:p>
        </w:tc>
        <w:tc>
          <w:tcPr>
            <w:tcW w:w="1584" w:type="dxa"/>
            <w:shd w:val="clear" w:color="auto" w:fill="FFC7CE"/>
            <w:vAlign w:val="center"/>
          </w:tcPr>
          <w:p w14:paraId="0E865782" w14:textId="77777777" w:rsidR="007D6234" w:rsidRDefault="001A5243">
            <w:pPr>
              <w:jc w:val="center"/>
            </w:pPr>
            <w:r>
              <w:rPr>
                <w:color w:val="9C0006"/>
                <w:sz w:val="20"/>
              </w:rPr>
              <w:t>8</w:t>
            </w:r>
          </w:p>
        </w:tc>
      </w:tr>
      <w:tr w:rsidR="007D6234" w14:paraId="1E48D27E" w14:textId="77777777">
        <w:trPr>
          <w:jc w:val="center"/>
        </w:trPr>
        <w:tc>
          <w:tcPr>
            <w:tcW w:w="2592" w:type="dxa"/>
            <w:vAlign w:val="center"/>
          </w:tcPr>
          <w:p w14:paraId="74B7E4ED" w14:textId="77777777" w:rsidR="007D6234" w:rsidRDefault="001A5243">
            <w:r>
              <w:rPr>
                <w:b/>
                <w:sz w:val="20"/>
              </w:rPr>
              <w:t>3 – Medium</w:t>
            </w:r>
          </w:p>
        </w:tc>
        <w:tc>
          <w:tcPr>
            <w:tcW w:w="1584" w:type="dxa"/>
            <w:shd w:val="clear" w:color="auto" w:fill="C6EFCE"/>
            <w:vAlign w:val="center"/>
          </w:tcPr>
          <w:p w14:paraId="68D9363B" w14:textId="77777777" w:rsidR="007D6234" w:rsidRDefault="001A5243">
            <w:pPr>
              <w:jc w:val="center"/>
            </w:pPr>
            <w:r>
              <w:rPr>
                <w:color w:val="006100"/>
                <w:sz w:val="20"/>
              </w:rPr>
              <w:t>3</w:t>
            </w:r>
          </w:p>
        </w:tc>
        <w:tc>
          <w:tcPr>
            <w:tcW w:w="1584" w:type="dxa"/>
            <w:shd w:val="clear" w:color="auto" w:fill="FFFF99"/>
            <w:vAlign w:val="center"/>
          </w:tcPr>
          <w:p w14:paraId="6DDB914C" w14:textId="77777777" w:rsidR="007D6234" w:rsidRDefault="001A5243">
            <w:pPr>
              <w:jc w:val="center"/>
            </w:pPr>
            <w:r>
              <w:rPr>
                <w:color w:val="9C6B00"/>
                <w:sz w:val="20"/>
              </w:rPr>
              <w:t>6</w:t>
            </w:r>
          </w:p>
        </w:tc>
        <w:tc>
          <w:tcPr>
            <w:tcW w:w="1584" w:type="dxa"/>
            <w:shd w:val="clear" w:color="auto" w:fill="FFC7CE"/>
            <w:vAlign w:val="center"/>
          </w:tcPr>
          <w:p w14:paraId="2B2B7304" w14:textId="77777777" w:rsidR="007D6234" w:rsidRDefault="001A5243">
            <w:pPr>
              <w:jc w:val="center"/>
            </w:pPr>
            <w:r>
              <w:rPr>
                <w:color w:val="9C0006"/>
                <w:sz w:val="20"/>
              </w:rPr>
              <w:t>9</w:t>
            </w:r>
          </w:p>
        </w:tc>
        <w:tc>
          <w:tcPr>
            <w:tcW w:w="1584" w:type="dxa"/>
            <w:shd w:val="clear" w:color="auto" w:fill="C00000"/>
            <w:vAlign w:val="center"/>
          </w:tcPr>
          <w:p w14:paraId="4B73E586" w14:textId="77777777" w:rsidR="007D6234" w:rsidRDefault="001A5243">
            <w:pPr>
              <w:jc w:val="center"/>
            </w:pPr>
            <w:r>
              <w:rPr>
                <w:color w:val="FFFFFF"/>
                <w:sz w:val="20"/>
              </w:rPr>
              <w:t>12</w:t>
            </w:r>
          </w:p>
        </w:tc>
      </w:tr>
      <w:tr w:rsidR="007D6234" w14:paraId="26AEE050" w14:textId="77777777">
        <w:trPr>
          <w:jc w:val="center"/>
        </w:trPr>
        <w:tc>
          <w:tcPr>
            <w:tcW w:w="2592" w:type="dxa"/>
            <w:shd w:val="clear" w:color="auto" w:fill="FFF2CC"/>
            <w:vAlign w:val="center"/>
          </w:tcPr>
          <w:p w14:paraId="53E5A9ED" w14:textId="77777777" w:rsidR="007D6234" w:rsidRDefault="001A5243">
            <w:r>
              <w:rPr>
                <w:b/>
                <w:sz w:val="20"/>
              </w:rPr>
              <w:t>4 – High</w:t>
            </w:r>
          </w:p>
        </w:tc>
        <w:tc>
          <w:tcPr>
            <w:tcW w:w="1584" w:type="dxa"/>
            <w:shd w:val="clear" w:color="auto" w:fill="FFFF99"/>
            <w:vAlign w:val="center"/>
          </w:tcPr>
          <w:p w14:paraId="22C3D751" w14:textId="77777777" w:rsidR="007D6234" w:rsidRDefault="001A5243">
            <w:pPr>
              <w:jc w:val="center"/>
            </w:pPr>
            <w:r>
              <w:rPr>
                <w:color w:val="9C6B00"/>
                <w:sz w:val="20"/>
              </w:rPr>
              <w:t>4</w:t>
            </w:r>
          </w:p>
        </w:tc>
        <w:tc>
          <w:tcPr>
            <w:tcW w:w="1584" w:type="dxa"/>
            <w:shd w:val="clear" w:color="auto" w:fill="FFC7CE"/>
            <w:vAlign w:val="center"/>
          </w:tcPr>
          <w:p w14:paraId="2575C2DF" w14:textId="77777777" w:rsidR="007D6234" w:rsidRDefault="001A5243">
            <w:pPr>
              <w:jc w:val="center"/>
            </w:pPr>
            <w:r>
              <w:rPr>
                <w:b/>
                <w:color w:val="9C0006"/>
              </w:rPr>
              <w:t>► 8 ◄</w:t>
            </w:r>
          </w:p>
        </w:tc>
        <w:tc>
          <w:tcPr>
            <w:tcW w:w="1584" w:type="dxa"/>
            <w:shd w:val="clear" w:color="auto" w:fill="C00000"/>
            <w:vAlign w:val="center"/>
          </w:tcPr>
          <w:p w14:paraId="48DF98D7" w14:textId="77777777" w:rsidR="007D6234" w:rsidRDefault="001A5243">
            <w:pPr>
              <w:jc w:val="center"/>
            </w:pPr>
            <w:r>
              <w:rPr>
                <w:color w:val="FFFFFF"/>
                <w:sz w:val="20"/>
              </w:rPr>
              <w:t>12</w:t>
            </w:r>
          </w:p>
        </w:tc>
        <w:tc>
          <w:tcPr>
            <w:tcW w:w="1584" w:type="dxa"/>
            <w:shd w:val="clear" w:color="auto" w:fill="C00000"/>
            <w:vAlign w:val="center"/>
          </w:tcPr>
          <w:p w14:paraId="0EB5E791" w14:textId="77777777" w:rsidR="007D6234" w:rsidRDefault="001A5243">
            <w:pPr>
              <w:jc w:val="center"/>
            </w:pPr>
            <w:r>
              <w:rPr>
                <w:color w:val="FFFFFF"/>
                <w:sz w:val="20"/>
              </w:rPr>
              <w:t>16</w:t>
            </w:r>
          </w:p>
        </w:tc>
      </w:tr>
      <w:tr w:rsidR="007D6234" w14:paraId="161D144F" w14:textId="77777777">
        <w:trPr>
          <w:jc w:val="center"/>
        </w:trPr>
        <w:tc>
          <w:tcPr>
            <w:tcW w:w="2592" w:type="dxa"/>
            <w:vAlign w:val="center"/>
          </w:tcPr>
          <w:p w14:paraId="55B27DA8" w14:textId="77777777" w:rsidR="007D6234" w:rsidRDefault="001A5243">
            <w:r>
              <w:rPr>
                <w:b/>
                <w:sz w:val="20"/>
              </w:rPr>
              <w:t>5 – Very High</w:t>
            </w:r>
          </w:p>
        </w:tc>
        <w:tc>
          <w:tcPr>
            <w:tcW w:w="1584" w:type="dxa"/>
            <w:shd w:val="clear" w:color="auto" w:fill="FFFF99"/>
            <w:vAlign w:val="center"/>
          </w:tcPr>
          <w:p w14:paraId="44240AAE" w14:textId="77777777" w:rsidR="007D6234" w:rsidRDefault="001A5243">
            <w:pPr>
              <w:jc w:val="center"/>
            </w:pPr>
            <w:r>
              <w:rPr>
                <w:color w:val="9C6B00"/>
                <w:sz w:val="20"/>
              </w:rPr>
              <w:t>5</w:t>
            </w:r>
          </w:p>
        </w:tc>
        <w:tc>
          <w:tcPr>
            <w:tcW w:w="1584" w:type="dxa"/>
            <w:shd w:val="clear" w:color="auto" w:fill="C00000"/>
            <w:vAlign w:val="center"/>
          </w:tcPr>
          <w:p w14:paraId="3E1FE5D4" w14:textId="77777777" w:rsidR="007D6234" w:rsidRDefault="001A5243">
            <w:pPr>
              <w:jc w:val="center"/>
            </w:pPr>
            <w:r>
              <w:rPr>
                <w:color w:val="FFFFFF"/>
                <w:sz w:val="20"/>
              </w:rPr>
              <w:t>10</w:t>
            </w:r>
          </w:p>
        </w:tc>
        <w:tc>
          <w:tcPr>
            <w:tcW w:w="1584" w:type="dxa"/>
            <w:shd w:val="clear" w:color="auto" w:fill="C00000"/>
            <w:vAlign w:val="center"/>
          </w:tcPr>
          <w:p w14:paraId="33CFEC6B" w14:textId="77777777" w:rsidR="007D6234" w:rsidRDefault="001A5243">
            <w:pPr>
              <w:jc w:val="center"/>
            </w:pPr>
            <w:r>
              <w:rPr>
                <w:color w:val="FFFFFF"/>
                <w:sz w:val="20"/>
              </w:rPr>
              <w:t>15</w:t>
            </w:r>
          </w:p>
        </w:tc>
        <w:tc>
          <w:tcPr>
            <w:tcW w:w="1584" w:type="dxa"/>
            <w:shd w:val="clear" w:color="auto" w:fill="C00000"/>
            <w:vAlign w:val="center"/>
          </w:tcPr>
          <w:p w14:paraId="5007C906" w14:textId="77777777" w:rsidR="007D6234" w:rsidRDefault="001A5243">
            <w:pPr>
              <w:jc w:val="center"/>
            </w:pPr>
            <w:r>
              <w:rPr>
                <w:color w:val="FFFFFF"/>
                <w:sz w:val="20"/>
              </w:rPr>
              <w:t>20</w:t>
            </w:r>
          </w:p>
        </w:tc>
      </w:tr>
    </w:tbl>
    <w:p w14:paraId="3DEEC669" w14:textId="77777777" w:rsidR="007D6234" w:rsidRDefault="007D6234"/>
    <w:p w14:paraId="1DB30F4A" w14:textId="77777777" w:rsidR="007D6234" w:rsidRDefault="001A5243">
      <w:pPr>
        <w:pStyle w:val="Heading1"/>
      </w:pPr>
      <w:r>
        <w:rPr>
          <w:rFonts w:ascii="Calibri" w:hAnsi="Calibri"/>
          <w:color w:val="002B5C"/>
        </w:rPr>
        <w:t>4. Executive Summary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00"/>
        <w:gridCol w:w="2880"/>
        <w:gridCol w:w="2880"/>
      </w:tblGrid>
      <w:tr w:rsidR="007D6234" w14:paraId="0B5A1B58" w14:textId="77777777">
        <w:trPr>
          <w:jc w:val="center"/>
        </w:trPr>
        <w:tc>
          <w:tcPr>
            <w:tcW w:w="3600" w:type="dxa"/>
            <w:shd w:val="clear" w:color="auto" w:fill="002B5C"/>
            <w:vAlign w:val="center"/>
          </w:tcPr>
          <w:p w14:paraId="18089E2F" w14:textId="77777777" w:rsidR="007D6234" w:rsidRDefault="001A5243">
            <w:pPr>
              <w:jc w:val="center"/>
            </w:pPr>
            <w:r>
              <w:rPr>
                <w:b/>
                <w:color w:val="FFFFFF"/>
                <w:sz w:val="20"/>
              </w:rPr>
              <w:t>Component</w:t>
            </w:r>
          </w:p>
        </w:tc>
        <w:tc>
          <w:tcPr>
            <w:tcW w:w="2880" w:type="dxa"/>
            <w:shd w:val="clear" w:color="auto" w:fill="002B5C"/>
            <w:vAlign w:val="center"/>
          </w:tcPr>
          <w:p w14:paraId="1CD137A6" w14:textId="77777777" w:rsidR="007D6234" w:rsidRDefault="001A5243">
            <w:pPr>
              <w:jc w:val="center"/>
            </w:pPr>
            <w:r>
              <w:rPr>
                <w:b/>
                <w:color w:val="FFFFFF"/>
                <w:sz w:val="20"/>
              </w:rPr>
              <w:t>Rating</w:t>
            </w:r>
          </w:p>
        </w:tc>
        <w:tc>
          <w:tcPr>
            <w:tcW w:w="2880" w:type="dxa"/>
            <w:shd w:val="clear" w:color="auto" w:fill="002B5C"/>
            <w:vAlign w:val="center"/>
          </w:tcPr>
          <w:p w14:paraId="657C3913" w14:textId="77777777" w:rsidR="007D6234" w:rsidRDefault="001A5243">
            <w:pPr>
              <w:jc w:val="center"/>
            </w:pPr>
            <w:r>
              <w:rPr>
                <w:b/>
                <w:color w:val="FFFFFF"/>
                <w:sz w:val="20"/>
              </w:rPr>
              <w:t>Score</w:t>
            </w:r>
          </w:p>
        </w:tc>
      </w:tr>
      <w:tr w:rsidR="007D6234" w14:paraId="76CCB1AB" w14:textId="77777777">
        <w:trPr>
          <w:jc w:val="center"/>
        </w:trPr>
        <w:tc>
          <w:tcPr>
            <w:tcW w:w="3600" w:type="dxa"/>
            <w:vAlign w:val="center"/>
          </w:tcPr>
          <w:p w14:paraId="2F458ACD" w14:textId="77777777" w:rsidR="007D6234" w:rsidRDefault="001A5243">
            <w:r>
              <w:rPr>
                <w:b/>
                <w:sz w:val="20"/>
              </w:rPr>
              <w:t>Weighted Likelihood</w:t>
            </w:r>
          </w:p>
        </w:tc>
        <w:tc>
          <w:tcPr>
            <w:tcW w:w="2880" w:type="dxa"/>
            <w:shd w:val="clear" w:color="auto" w:fill="FFC7CE"/>
            <w:vAlign w:val="center"/>
          </w:tcPr>
          <w:p w14:paraId="05FAD91F" w14:textId="77777777" w:rsidR="007D6234" w:rsidRDefault="001A5243">
            <w:pPr>
              <w:jc w:val="center"/>
            </w:pPr>
            <w:r>
              <w:rPr>
                <w:b/>
                <w:color w:val="9C0006"/>
                <w:sz w:val="20"/>
              </w:rPr>
              <w:t>High</w:t>
            </w:r>
          </w:p>
        </w:tc>
        <w:tc>
          <w:tcPr>
            <w:tcW w:w="2880" w:type="dxa"/>
            <w:vAlign w:val="center"/>
          </w:tcPr>
          <w:p w14:paraId="5D89AC0F" w14:textId="77777777" w:rsidR="007D6234" w:rsidRDefault="001A5243">
            <w:pPr>
              <w:jc w:val="center"/>
            </w:pPr>
            <w:r>
              <w:rPr>
                <w:b/>
                <w:sz w:val="20"/>
              </w:rPr>
              <w:t>8.30</w:t>
            </w:r>
          </w:p>
        </w:tc>
      </w:tr>
      <w:tr w:rsidR="007D6234" w14:paraId="4622B240" w14:textId="77777777">
        <w:trPr>
          <w:jc w:val="center"/>
        </w:trPr>
        <w:tc>
          <w:tcPr>
            <w:tcW w:w="3600" w:type="dxa"/>
            <w:vAlign w:val="center"/>
          </w:tcPr>
          <w:p w14:paraId="5B132030" w14:textId="77777777" w:rsidR="007D6234" w:rsidRDefault="001A5243">
            <w:r>
              <w:rPr>
                <w:b/>
                <w:sz w:val="20"/>
              </w:rPr>
              <w:t>Weighted Impact</w:t>
            </w:r>
          </w:p>
        </w:tc>
        <w:tc>
          <w:tcPr>
            <w:tcW w:w="2880" w:type="dxa"/>
            <w:shd w:val="clear" w:color="auto" w:fill="FFC7CE"/>
            <w:vAlign w:val="center"/>
          </w:tcPr>
          <w:p w14:paraId="4D4E7786" w14:textId="77777777" w:rsidR="007D6234" w:rsidRDefault="001A5243">
            <w:pPr>
              <w:jc w:val="center"/>
            </w:pPr>
            <w:r>
              <w:rPr>
                <w:b/>
                <w:color w:val="9C0006"/>
                <w:sz w:val="20"/>
              </w:rPr>
              <w:t>High</w:t>
            </w:r>
          </w:p>
        </w:tc>
        <w:tc>
          <w:tcPr>
            <w:tcW w:w="2880" w:type="dxa"/>
            <w:vAlign w:val="center"/>
          </w:tcPr>
          <w:p w14:paraId="1227EDDC" w14:textId="77777777" w:rsidR="007D6234" w:rsidRDefault="001A5243">
            <w:pPr>
              <w:jc w:val="center"/>
            </w:pPr>
            <w:r>
              <w:rPr>
                <w:b/>
                <w:sz w:val="20"/>
              </w:rPr>
              <w:t>8.30</w:t>
            </w:r>
          </w:p>
        </w:tc>
      </w:tr>
      <w:tr w:rsidR="007D6234" w14:paraId="5B500882" w14:textId="77777777">
        <w:trPr>
          <w:jc w:val="center"/>
        </w:trPr>
        <w:tc>
          <w:tcPr>
            <w:tcW w:w="3600" w:type="dxa"/>
            <w:vAlign w:val="center"/>
          </w:tcPr>
          <w:p w14:paraId="6D46F673" w14:textId="77777777" w:rsidR="007D6234" w:rsidRDefault="001A5243">
            <w:r>
              <w:rPr>
                <w:b/>
                <w:sz w:val="20"/>
              </w:rPr>
              <w:t>Inherent Risk</w:t>
            </w:r>
          </w:p>
        </w:tc>
        <w:tc>
          <w:tcPr>
            <w:tcW w:w="2880" w:type="dxa"/>
            <w:shd w:val="clear" w:color="auto" w:fill="FFC7CE"/>
            <w:vAlign w:val="center"/>
          </w:tcPr>
          <w:p w14:paraId="057E6F4C" w14:textId="77777777" w:rsidR="007D6234" w:rsidRDefault="001A5243">
            <w:pPr>
              <w:jc w:val="center"/>
            </w:pPr>
            <w:r>
              <w:rPr>
                <w:b/>
                <w:color w:val="9C0006"/>
                <w:sz w:val="20"/>
              </w:rPr>
              <w:t>High</w:t>
            </w:r>
          </w:p>
        </w:tc>
        <w:tc>
          <w:tcPr>
            <w:tcW w:w="2880" w:type="dxa"/>
            <w:vAlign w:val="center"/>
          </w:tcPr>
          <w:p w14:paraId="3BD41C7A" w14:textId="77777777" w:rsidR="007D6234" w:rsidRDefault="001A5243">
            <w:pPr>
              <w:jc w:val="center"/>
            </w:pPr>
            <w:r>
              <w:rPr>
                <w:b/>
                <w:sz w:val="20"/>
              </w:rPr>
              <w:t>8.30 (Band Score: 4)</w:t>
            </w:r>
          </w:p>
        </w:tc>
      </w:tr>
      <w:tr w:rsidR="007D6234" w14:paraId="76ECA1A8" w14:textId="77777777">
        <w:trPr>
          <w:jc w:val="center"/>
        </w:trPr>
        <w:tc>
          <w:tcPr>
            <w:tcW w:w="3600" w:type="dxa"/>
            <w:vAlign w:val="center"/>
          </w:tcPr>
          <w:p w14:paraId="18B26843" w14:textId="77777777" w:rsidR="007D6234" w:rsidRDefault="001A5243">
            <w:r>
              <w:rPr>
                <w:b/>
                <w:sz w:val="20"/>
              </w:rPr>
              <w:t>Control Environment</w:t>
            </w:r>
          </w:p>
        </w:tc>
        <w:tc>
          <w:tcPr>
            <w:tcW w:w="2880" w:type="dxa"/>
            <w:shd w:val="clear" w:color="auto" w:fill="FFF2CC"/>
            <w:vAlign w:val="center"/>
          </w:tcPr>
          <w:p w14:paraId="3D374935" w14:textId="77777777" w:rsidR="007D6234" w:rsidRDefault="001A5243">
            <w:pPr>
              <w:jc w:val="center"/>
            </w:pPr>
            <w:r>
              <w:rPr>
                <w:b/>
                <w:color w:val="ED7D31"/>
                <w:sz w:val="20"/>
              </w:rPr>
              <w:t>Needs Improvement</w:t>
            </w:r>
          </w:p>
        </w:tc>
        <w:tc>
          <w:tcPr>
            <w:tcW w:w="2880" w:type="dxa"/>
            <w:vAlign w:val="center"/>
          </w:tcPr>
          <w:p w14:paraId="2CC21B90" w14:textId="77777777" w:rsidR="007D6234" w:rsidRDefault="001A5243">
            <w:pPr>
              <w:jc w:val="center"/>
            </w:pPr>
            <w:r>
              <w:rPr>
                <w:b/>
                <w:sz w:val="20"/>
              </w:rPr>
              <w:t>2</w:t>
            </w:r>
          </w:p>
        </w:tc>
      </w:tr>
      <w:tr w:rsidR="007D6234" w14:paraId="18DDE72E" w14:textId="77777777">
        <w:trPr>
          <w:jc w:val="center"/>
        </w:trPr>
        <w:tc>
          <w:tcPr>
            <w:tcW w:w="3600" w:type="dxa"/>
            <w:shd w:val="clear" w:color="auto" w:fill="FFC7CE"/>
            <w:vAlign w:val="center"/>
          </w:tcPr>
          <w:p w14:paraId="352839CE" w14:textId="77777777" w:rsidR="007D6234" w:rsidRDefault="001A5243">
            <w:r>
              <w:rPr>
                <w:b/>
                <w:color w:val="9C0006"/>
                <w:sz w:val="20"/>
              </w:rPr>
              <w:t>Residual Risk</w:t>
            </w:r>
          </w:p>
        </w:tc>
        <w:tc>
          <w:tcPr>
            <w:tcW w:w="2880" w:type="dxa"/>
            <w:shd w:val="clear" w:color="auto" w:fill="FFC7CE"/>
            <w:vAlign w:val="center"/>
          </w:tcPr>
          <w:p w14:paraId="2C784261" w14:textId="77777777" w:rsidR="007D6234" w:rsidRDefault="001A5243">
            <w:pPr>
              <w:jc w:val="center"/>
            </w:pPr>
            <w:r>
              <w:rPr>
                <w:b/>
                <w:color w:val="9C0006"/>
                <w:sz w:val="20"/>
              </w:rPr>
              <w:t>High</w:t>
            </w:r>
          </w:p>
        </w:tc>
        <w:tc>
          <w:tcPr>
            <w:tcW w:w="2880" w:type="dxa"/>
            <w:shd w:val="clear" w:color="auto" w:fill="FFC7CE"/>
            <w:vAlign w:val="center"/>
          </w:tcPr>
          <w:p w14:paraId="77BBEA4A" w14:textId="77777777" w:rsidR="007D6234" w:rsidRDefault="001A5243">
            <w:pPr>
              <w:jc w:val="center"/>
            </w:pPr>
            <w:r>
              <w:rPr>
                <w:b/>
                <w:color w:val="9C0006"/>
                <w:sz w:val="20"/>
              </w:rPr>
              <w:t>8</w:t>
            </w:r>
          </w:p>
        </w:tc>
      </w:tr>
    </w:tbl>
    <w:p w14:paraId="3656B9AB" w14:textId="77777777" w:rsidR="007D6234" w:rsidRDefault="007D6234"/>
    <w:p w14:paraId="2F114E27" w14:textId="109159EC" w:rsidR="007D6234" w:rsidRDefault="007D6234" w:rsidP="3D70C2F9">
      <w:pPr>
        <w:pStyle w:val="ListBullet"/>
        <w:numPr>
          <w:ilvl w:val="0"/>
          <w:numId w:val="0"/>
        </w:numPr>
        <w:spacing w:after="120"/>
      </w:pPr>
    </w:p>
    <w:sectPr w:rsidR="007D6234">
      <w:footerReference w:type="even" r:id="rId7"/>
      <w:footerReference w:type="default" r:id="rId8"/>
      <w:footerReference w:type="first" r:id="rId9"/>
      <w:pgSz w:w="12240" w:h="15840"/>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79475" w14:textId="77777777" w:rsidR="002E4BA6" w:rsidRDefault="002E4BA6">
      <w:pPr>
        <w:spacing w:after="0" w:line="240" w:lineRule="auto"/>
      </w:pPr>
      <w:r>
        <w:separator/>
      </w:r>
    </w:p>
  </w:endnote>
  <w:endnote w:type="continuationSeparator" w:id="0">
    <w:p w14:paraId="66937364" w14:textId="77777777" w:rsidR="002E4BA6" w:rsidRDefault="002E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E3C1" w14:textId="2ADCA59A" w:rsidR="003A584A" w:rsidRDefault="003A584A">
    <w:pPr>
      <w:pStyle w:val="Footer"/>
    </w:pPr>
    <w:r>
      <w:rPr>
        <w:noProof/>
      </w:rPr>
      <mc:AlternateContent>
        <mc:Choice Requires="wps">
          <w:drawing>
            <wp:anchor distT="0" distB="0" distL="0" distR="0" simplePos="0" relativeHeight="251659264" behindDoc="0" locked="0" layoutInCell="1" allowOverlap="1" wp14:anchorId="6DC9CF59" wp14:editId="1D8F8F5E">
              <wp:simplePos x="635" y="635"/>
              <wp:positionH relativeFrom="page">
                <wp:align>left</wp:align>
              </wp:positionH>
              <wp:positionV relativeFrom="page">
                <wp:align>bottom</wp:align>
              </wp:positionV>
              <wp:extent cx="1778000" cy="333375"/>
              <wp:effectExtent l="0" t="0" r="12700" b="0"/>
              <wp:wrapNone/>
              <wp:docPr id="1653692364"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8000" cy="333375"/>
                      </a:xfrm>
                      <a:prstGeom prst="rect">
                        <a:avLst/>
                      </a:prstGeom>
                      <a:noFill/>
                      <a:ln>
                        <a:noFill/>
                      </a:ln>
                    </wps:spPr>
                    <wps:txbx>
                      <w:txbxContent>
                        <w:p w14:paraId="34A801FC" w14:textId="2C60EDCD" w:rsidR="003A584A" w:rsidRPr="003A584A" w:rsidRDefault="003A584A" w:rsidP="003A584A">
                          <w:pPr>
                            <w:spacing w:after="0"/>
                            <w:rPr>
                              <w:rFonts w:ascii="Aptos" w:eastAsia="Aptos" w:hAnsi="Aptos" w:cs="Aptos"/>
                              <w:noProof/>
                              <w:color w:val="FF0000"/>
                              <w:sz w:val="16"/>
                              <w:szCs w:val="16"/>
                            </w:rPr>
                          </w:pPr>
                          <w:r w:rsidRPr="003A584A">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553D827">
            <v:shapetype id="_x0000_t202" coordsize="21600,21600" o:spt="202" path="m,l,21600r21600,l21600,xe" w14:anchorId="6DC9CF59">
              <v:stroke joinstyle="miter"/>
              <v:path gradientshapeok="t" o:connecttype="rect"/>
            </v:shapetype>
            <v:shape id="Text Box 2" style="position:absolute;margin-left:0;margin-top:0;width:140pt;height:26.25pt;z-index:251659264;visibility:visible;mso-wrap-style:none;mso-wrap-distance-left:0;mso-wrap-distance-top:0;mso-wrap-distance-right:0;mso-wrap-distance-bottom:0;mso-position-horizontal:left;mso-position-horizontal-relative:page;mso-position-vertical:bottom;mso-position-vertical-relative:page;v-text-anchor:bottom" alt="Classification: RAKBANK-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">
              <v:fill o:detectmouseclick="t"/>
              <v:textbox style="mso-fit-shape-to-text:t" inset="20pt,0,0,15pt">
                <w:txbxContent>
                  <w:p w:rsidRPr="003A584A" w:rsidR="003A584A" w:rsidP="003A584A" w:rsidRDefault="003A584A" w14:paraId="3A0F8923" w14:textId="2C60EDCD">
                    <w:pPr>
                      <w:spacing w:after="0"/>
                      <w:rPr>
                        <w:rFonts w:ascii="Aptos" w:hAnsi="Aptos" w:eastAsia="Aptos" w:cs="Aptos"/>
                        <w:noProof/>
                        <w:color w:val="FF0000"/>
                        <w:sz w:val="16"/>
                        <w:szCs w:val="16"/>
                      </w:rPr>
                    </w:pPr>
                    <w:r w:rsidRPr="003A584A">
                      <w:rPr>
                        <w:rFonts w:ascii="Aptos" w:hAnsi="Aptos" w:eastAsia="Aptos" w:cs="Aptos"/>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43BB" w14:textId="4098B409" w:rsidR="007D6234" w:rsidRDefault="003A584A">
    <w:pPr>
      <w:pStyle w:val="Footer"/>
      <w:jc w:val="center"/>
    </w:pPr>
    <w:r>
      <w:rPr>
        <w:noProof/>
        <w:color w:val="FF0000"/>
        <w:sz w:val="16"/>
      </w:rPr>
      <mc:AlternateContent>
        <mc:Choice Requires="wps">
          <w:drawing>
            <wp:anchor distT="0" distB="0" distL="0" distR="0" simplePos="0" relativeHeight="251660288" behindDoc="0" locked="0" layoutInCell="1" allowOverlap="1" wp14:anchorId="4C913888" wp14:editId="6BACA489">
              <wp:simplePos x="635" y="635"/>
              <wp:positionH relativeFrom="page">
                <wp:align>left</wp:align>
              </wp:positionH>
              <wp:positionV relativeFrom="page">
                <wp:align>bottom</wp:align>
              </wp:positionV>
              <wp:extent cx="1778000" cy="333375"/>
              <wp:effectExtent l="0" t="0" r="12700" b="0"/>
              <wp:wrapNone/>
              <wp:docPr id="334033273" name="Text Box 3"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8000" cy="333375"/>
                      </a:xfrm>
                      <a:prstGeom prst="rect">
                        <a:avLst/>
                      </a:prstGeom>
                      <a:noFill/>
                      <a:ln>
                        <a:noFill/>
                      </a:ln>
                    </wps:spPr>
                    <wps:txbx>
                      <w:txbxContent>
                        <w:p w14:paraId="355FC985" w14:textId="36C2D686" w:rsidR="003A584A" w:rsidRPr="003A584A" w:rsidRDefault="003A584A" w:rsidP="003A584A">
                          <w:pPr>
                            <w:spacing w:after="0"/>
                            <w:rPr>
                              <w:rFonts w:ascii="Aptos" w:eastAsia="Aptos" w:hAnsi="Aptos" w:cs="Aptos"/>
                              <w:noProof/>
                              <w:color w:val="FF0000"/>
                              <w:sz w:val="16"/>
                              <w:szCs w:val="16"/>
                            </w:rPr>
                          </w:pPr>
                          <w:r w:rsidRPr="003A584A">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582E8F0">
            <v:shapetype id="_x0000_t202" coordsize="21600,21600" o:spt="202" path="m,l,21600r21600,l21600,xe" w14:anchorId="4C913888">
              <v:stroke joinstyle="miter"/>
              <v:path gradientshapeok="t" o:connecttype="rect"/>
            </v:shapetype>
            <v:shape id="Text Box 3" style="position:absolute;left:0;text-align:left;margin-left:0;margin-top:0;width:140pt;height:26.25pt;z-index:251660288;visibility:visible;mso-wrap-style:none;mso-wrap-distance-left:0;mso-wrap-distance-top:0;mso-wrap-distance-right:0;mso-wrap-distance-bottom:0;mso-position-horizontal:left;mso-position-horizontal-relative:page;mso-position-vertical:bottom;mso-position-vertical-relative:page;v-text-anchor:bottom" alt="Classification: RAKBANK-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">
              <v:fill o:detectmouseclick="t"/>
              <v:textbox style="mso-fit-shape-to-text:t" inset="20pt,0,0,15pt">
                <w:txbxContent>
                  <w:p w:rsidRPr="003A584A" w:rsidR="003A584A" w:rsidP="003A584A" w:rsidRDefault="003A584A" w14:paraId="0CD42C9C" w14:textId="36C2D686">
                    <w:pPr>
                      <w:spacing w:after="0"/>
                      <w:rPr>
                        <w:rFonts w:ascii="Aptos" w:hAnsi="Aptos" w:eastAsia="Aptos" w:cs="Aptos"/>
                        <w:noProof/>
                        <w:color w:val="FF0000"/>
                        <w:sz w:val="16"/>
                        <w:szCs w:val="16"/>
                      </w:rPr>
                    </w:pPr>
                    <w:r w:rsidRPr="003A584A">
                      <w:rPr>
                        <w:rFonts w:ascii="Aptos" w:hAnsi="Aptos" w:eastAsia="Aptos" w:cs="Aptos"/>
                        <w:noProof/>
                        <w:color w:val="FF0000"/>
                        <w:sz w:val="16"/>
                        <w:szCs w:val="16"/>
                      </w:rPr>
                      <w:t>Classification: RAKBANK-Internal</w:t>
                    </w:r>
                  </w:p>
                </w:txbxContent>
              </v:textbox>
              <w10:wrap anchorx="page" anchory="page"/>
            </v:shape>
          </w:pict>
        </mc:Fallback>
      </mc:AlternateContent>
    </w:r>
    <w:r w:rsidR="001A5243">
      <w:rPr>
        <w:color w:val="FF0000"/>
        <w:sz w:val="16"/>
      </w:rPr>
      <w:t>Classification: RAKBANK – Highly Confidential</w:t>
    </w:r>
    <w:r w:rsidR="001A5243">
      <w:rPr>
        <w:color w:val="7F7F7F"/>
        <w:sz w:val="16"/>
      </w:rPr>
      <w:t xml:space="preserve">    |    Page </w:t>
    </w:r>
    <w:r w:rsidR="001A5243">
      <w:fldChar w:fldCharType="begin"/>
    </w:r>
    <w:r w:rsidR="001A5243">
      <w:instrText xml:space="preserve"> PAGE </w:instrText>
    </w:r>
    <w:r w:rsidR="001A5243">
      <w:fldChar w:fldCharType="separate"/>
    </w:r>
    <w:r w:rsidR="00F86D7A">
      <w:rPr>
        <w:noProof/>
      </w:rPr>
      <w:t>1</w:t>
    </w:r>
    <w:r w:rsidR="001A524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2362" w14:textId="2300A864" w:rsidR="003A584A" w:rsidRDefault="003A584A">
    <w:pPr>
      <w:pStyle w:val="Footer"/>
    </w:pPr>
    <w:r>
      <w:rPr>
        <w:noProof/>
      </w:rPr>
      <mc:AlternateContent>
        <mc:Choice Requires="wps">
          <w:drawing>
            <wp:anchor distT="0" distB="0" distL="0" distR="0" simplePos="0" relativeHeight="251658240" behindDoc="0" locked="0" layoutInCell="1" allowOverlap="1" wp14:anchorId="6B48C510" wp14:editId="64ADF95B">
              <wp:simplePos x="635" y="635"/>
              <wp:positionH relativeFrom="page">
                <wp:align>left</wp:align>
              </wp:positionH>
              <wp:positionV relativeFrom="page">
                <wp:align>bottom</wp:align>
              </wp:positionV>
              <wp:extent cx="1778000" cy="333375"/>
              <wp:effectExtent l="0" t="0" r="12700" b="0"/>
              <wp:wrapNone/>
              <wp:docPr id="1784689016"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8000" cy="333375"/>
                      </a:xfrm>
                      <a:prstGeom prst="rect">
                        <a:avLst/>
                      </a:prstGeom>
                      <a:noFill/>
                      <a:ln>
                        <a:noFill/>
                      </a:ln>
                    </wps:spPr>
                    <wps:txbx>
                      <w:txbxContent>
                        <w:p w14:paraId="2CC21663" w14:textId="2CE19215" w:rsidR="003A584A" w:rsidRPr="003A584A" w:rsidRDefault="003A584A" w:rsidP="003A584A">
                          <w:pPr>
                            <w:spacing w:after="0"/>
                            <w:rPr>
                              <w:rFonts w:ascii="Aptos" w:eastAsia="Aptos" w:hAnsi="Aptos" w:cs="Aptos"/>
                              <w:noProof/>
                              <w:color w:val="FF0000"/>
                              <w:sz w:val="16"/>
                              <w:szCs w:val="16"/>
                            </w:rPr>
                          </w:pPr>
                          <w:r w:rsidRPr="003A584A">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0119BFEB">
            <v:shapetype id="_x0000_t202" coordsize="21600,21600" o:spt="202" path="m,l,21600r21600,l21600,xe" w14:anchorId="6B48C510">
              <v:stroke joinstyle="miter"/>
              <v:path gradientshapeok="t" o:connecttype="rect"/>
            </v:shapetype>
            <v:shape id="Text Box 1" style="position:absolute;margin-left:0;margin-top:0;width:140pt;height:26.25pt;z-index:251658240;visibility:visible;mso-wrap-style:none;mso-wrap-distance-left:0;mso-wrap-distance-top:0;mso-wrap-distance-right:0;mso-wrap-distance-bottom:0;mso-position-horizontal:left;mso-position-horizontal-relative:page;mso-position-vertical:bottom;mso-position-vertical-relative:page;v-text-anchor:bottom" alt="Classification: RAKBANK-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">
              <v:fill o:detectmouseclick="t"/>
              <v:textbox style="mso-fit-shape-to-text:t" inset="20pt,0,0,15pt">
                <w:txbxContent>
                  <w:p w:rsidRPr="003A584A" w:rsidR="003A584A" w:rsidP="003A584A" w:rsidRDefault="003A584A" w14:paraId="59DB1DDB" w14:textId="2CE19215">
                    <w:pPr>
                      <w:spacing w:after="0"/>
                      <w:rPr>
                        <w:rFonts w:ascii="Aptos" w:hAnsi="Aptos" w:eastAsia="Aptos" w:cs="Aptos"/>
                        <w:noProof/>
                        <w:color w:val="FF0000"/>
                        <w:sz w:val="16"/>
                        <w:szCs w:val="16"/>
                      </w:rPr>
                    </w:pPr>
                    <w:r w:rsidRPr="003A584A">
                      <w:rPr>
                        <w:rFonts w:ascii="Aptos" w:hAnsi="Aptos" w:eastAsia="Aptos" w:cs="Aptos"/>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7BEDE" w14:textId="77777777" w:rsidR="002E4BA6" w:rsidRDefault="002E4BA6">
      <w:pPr>
        <w:spacing w:after="0" w:line="240" w:lineRule="auto"/>
      </w:pPr>
      <w:r>
        <w:separator/>
      </w:r>
    </w:p>
  </w:footnote>
  <w:footnote w:type="continuationSeparator" w:id="0">
    <w:p w14:paraId="6B3D919E" w14:textId="77777777" w:rsidR="002E4BA6" w:rsidRDefault="002E4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92C46"/>
    <w:rsid w:val="001A5243"/>
    <w:rsid w:val="001B0523"/>
    <w:rsid w:val="001F40EA"/>
    <w:rsid w:val="002E4BA6"/>
    <w:rsid w:val="002E51AB"/>
    <w:rsid w:val="00321F93"/>
    <w:rsid w:val="00324B44"/>
    <w:rsid w:val="0036562D"/>
    <w:rsid w:val="003A584A"/>
    <w:rsid w:val="004976E0"/>
    <w:rsid w:val="005149DA"/>
    <w:rsid w:val="005A534A"/>
    <w:rsid w:val="007D6234"/>
    <w:rsid w:val="007F779F"/>
    <w:rsid w:val="00827C87"/>
    <w:rsid w:val="0093497C"/>
    <w:rsid w:val="00A20880"/>
    <w:rsid w:val="00A352C8"/>
    <w:rsid w:val="00A423A9"/>
    <w:rsid w:val="00B41C2B"/>
    <w:rsid w:val="00C26D93"/>
    <w:rsid w:val="00C27141"/>
    <w:rsid w:val="00C777B3"/>
    <w:rsid w:val="00D1283C"/>
    <w:rsid w:val="00D32292"/>
    <w:rsid w:val="00D65D03"/>
    <w:rsid w:val="00D75435"/>
    <w:rsid w:val="00DA6C12"/>
    <w:rsid w:val="00DE5146"/>
    <w:rsid w:val="00DF2FBF"/>
    <w:rsid w:val="00F86D7A"/>
    <w:rsid w:val="00FB3270"/>
    <w:rsid w:val="145DDC06"/>
    <w:rsid w:val="1AE30756"/>
    <w:rsid w:val="1F8D6634"/>
    <w:rsid w:val="30A8A375"/>
    <w:rsid w:val="370F4FAD"/>
    <w:rsid w:val="3D70C2F9"/>
    <w:rsid w:val="42F51039"/>
    <w:rsid w:val="4C9D2FD7"/>
    <w:rsid w:val="4DC79EA7"/>
    <w:rsid w:val="5DEBE129"/>
    <w:rsid w:val="6407A84A"/>
    <w:rsid w:val="6C8F65A7"/>
    <w:rsid w:val="6FBF9795"/>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333333"/>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677</Words>
  <Characters>3841</Characters>
  <Application>Microsoft Office Word</Application>
  <DocSecurity>0</DocSecurity>
  <Lines>254</Lines>
  <Paragraphs>171</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Moez Sassi</dc:creator>
  <cp:keywords/>
  <dc:description/>
  <cp:lastModifiedBy>Moez Sassi</cp:lastModifiedBy>
  <cp:revision>8</cp:revision>
  <dcterms:created xsi:type="dcterms:W3CDTF">2026-04-29T11:28:00Z</dcterms:created>
  <dcterms:modified xsi:type="dcterms:W3CDTF">2026-04-30T05:56:00Z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6a603178,629157cc,13e8f179</vt:lpwstr>
  </property>
  <property fmtid="{D5CDD505-2E9C-101B-9397-08002B2CF9AE}" pid="3" name="ClassificationContentMarkingFooterFontProps">
    <vt:lpwstr>#ff0000,8,Aptos</vt:lpwstr>
  </property>
  <property fmtid="{D5CDD505-2E9C-101B-9397-08002B2CF9AE}" pid="4" name="ClassificationContentMarkingFooterText">
    <vt:lpwstr>Classification: RAKBANK-Internal</vt:lpwstr>
  </property>
  <property fmtid="{D5CDD505-2E9C-101B-9397-08002B2CF9AE}" pid="5" name="MSIP_Label_caa88fe9-e822-4727-abde-1b56444e8f2b_Enabled">
    <vt:lpwstr>true</vt:lpwstr>
  </property>
  <property fmtid="{D5CDD505-2E9C-101B-9397-08002B2CF9AE}" pid="6" name="MSIP_Label_caa88fe9-e822-4727-abde-1b56444e8f2b_SetDate">
    <vt:lpwstr>2026-04-29T11:26:24Z</vt:lpwstr>
  </property>
  <property fmtid="{D5CDD505-2E9C-101B-9397-08002B2CF9AE}" pid="7" name="MSIP_Label_caa88fe9-e822-4727-abde-1b56444e8f2b_Method">
    <vt:lpwstr>Standard</vt:lpwstr>
  </property>
  <property fmtid="{D5CDD505-2E9C-101B-9397-08002B2CF9AE}" pid="8" name="MSIP_Label_caa88fe9-e822-4727-abde-1b56444e8f2b_Name">
    <vt:lpwstr>RAKBANK-Internal for files</vt:lpwstr>
  </property>
  <property fmtid="{D5CDD505-2E9C-101B-9397-08002B2CF9AE}" pid="9" name="MSIP_Label_caa88fe9-e822-4727-abde-1b56444e8f2b_SiteId">
    <vt:lpwstr>fbb70b95-2828-4ce3-90d5-c6e1ff243618</vt:lpwstr>
  </property>
  <property fmtid="{D5CDD505-2E9C-101B-9397-08002B2CF9AE}" pid="10" name="MSIP_Label_caa88fe9-e822-4727-abde-1b56444e8f2b_ActionId">
    <vt:lpwstr>630333f4-c340-4f09-b1bf-48a5c09268e1</vt:lpwstr>
  </property>
  <property fmtid="{D5CDD505-2E9C-101B-9397-08002B2CF9AE}" pid="11" name="MSIP_Label_caa88fe9-e822-4727-abde-1b56444e8f2b_ContentBits">
    <vt:lpwstr>2</vt:lpwstr>
  </property>
  <property fmtid="{D5CDD505-2E9C-101B-9397-08002B2CF9AE}" pid="12" name="MSIP_Label_caa88fe9-e822-4727-abde-1b56444e8f2b_Tag">
    <vt:lpwstr>10, 3, 0, 2</vt:lpwstr>
  </property>
</Properties>
</file>