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Ejecutivo de Conciliación AS400</w:t>
      </w:r>
    </w:p>
    <w:p>
      <w:pPr>
        <w:jc w:val="center"/>
      </w:pPr>
      <w:r>
        <w:rPr>
          <w:b/>
        </w:rPr>
        <w:t>Proceso: PO Vendor Storage | Fecha: 20260908</w:t>
      </w:r>
    </w:p>
    <w:p>
      <w:pPr>
        <w:pStyle w:val="Heading1"/>
      </w:pPr>
      <w:r>
        <w:t>📊 Resumen:</w:t>
      </w:r>
    </w:p>
    <w:p>
      <w:r>
        <w:rPr>
          <w:b/>
        </w:rPr>
        <w:t xml:space="preserve">Estado Global de la Conciliación: </w:t>
      </w:r>
      <w:r>
        <w:rPr>
          <w:color w:val="008000"/>
        </w:rPr>
        <w:t>✅ CUADRE PERFECTO</w:t>
      </w:r>
    </w:p>
    <w:p>
      <w:r>
        <w:t>Se procesaron 2 SKUs en total.</w:t>
      </w:r>
    </w:p>
    <w:p>
      <w:pPr>
        <w:pStyle w:val="Heading1"/>
      </w:pPr>
      <w:r>
        <w:t>📦 Análisis de Conciliación por SKU</w:t>
      </w:r>
    </w:p>
    <w:p>
      <w:r>
        <w:t>Comparativa directa entre las unidades ordenadas a generar (KTRHP válidas) y las unidades finalmente generadas (KPUHP).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Ordenadas (KTRHP)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Generadas (KPUHP)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>
              <w:t>111765</w:t>
            </w:r>
          </w:p>
        </w:tc>
        <w:tc>
          <w:tcPr>
            <w:tcW w:type="dxa" w:w="1440"/>
          </w:tcPr>
          <w:p>
            <w:r>
              <w:t xml:space="preserve">398011     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  <w:tr>
        <w:tc>
          <w:tcPr>
            <w:tcW w:type="dxa" w:w="1440"/>
          </w:tcPr>
          <w:p>
            <w:r>
              <w:t>111766</w:t>
            </w:r>
          </w:p>
        </w:tc>
        <w:tc>
          <w:tcPr>
            <w:tcW w:type="dxa" w:w="1440"/>
          </w:tcPr>
          <w:p>
            <w:r>
              <w:t xml:space="preserve">588201     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</w:tbl>
    <w:p>
      <w:r>
        <w:br w:type="page"/>
      </w:r>
    </w:p>
    <w:p>
      <w:pPr>
        <w:pStyle w:val="Heading1"/>
      </w:pPr>
      <w:r>
        <w:t>📑 Anexo Técnico (Detalle de Bases de Datos)</w:t>
      </w:r>
    </w:p>
    <w:p>
      <w:pPr>
        <w:pStyle w:val="Heading2"/>
      </w:pPr>
      <w:r>
        <w:t>1. KTRHP A Generar (Owner V4 o Vacío)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398011     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 xml:space="preserve">588201     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2. KTRHP Ignoradas (Owner 14)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</w:tbl>
    <w:p>
      <w:pPr>
        <w:pStyle w:val="Heading2"/>
      </w:pPr>
      <w:r>
        <w:t>3. Resultados KPUHP (Generados)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</w:t>
            </w:r>
          </w:p>
        </w:tc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TOTAL U45UH</w:t>
            </w:r>
          </w:p>
        </w:tc>
      </w:tr>
      <w:tr>
        <w:tc>
          <w:tcPr>
            <w:tcW w:type="dxa" w:w="2880"/>
          </w:tcPr>
          <w:p>
            <w:r>
              <w:t>111766</w:t>
            </w:r>
          </w:p>
        </w:tc>
        <w:tc>
          <w:tcPr>
            <w:tcW w:type="dxa" w:w="2880"/>
          </w:tcPr>
          <w:p>
            <w:r>
              <w:t xml:space="preserve">588201     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111765</w:t>
            </w:r>
          </w:p>
        </w:tc>
        <w:tc>
          <w:tcPr>
            <w:tcW w:type="dxa" w:w="2880"/>
          </w:tcPr>
          <w:p>
            <w:r>
              <w:t xml:space="preserve">398011     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