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4057"/>
          <w:sz w:val="48"/>
        </w:rPr>
        <w:t>06 — CONTRATO DE ARQUITECTURA DE CARPETAS</w:t>
      </w:r>
    </w:p>
    <w:p>
      <w:pPr>
        <w:jc w:val="center"/>
      </w:pPr>
      <w:r>
        <w:rPr>
          <w:color w:val="3D5A80"/>
          <w:sz w:val="30"/>
        </w:rPr>
        <w:t>Base de Datos Escolar — EES N°2</w:t>
      </w:r>
    </w:p>
    <w:p>
      <w:pPr>
        <w:jc w:val="center"/>
      </w:pPr>
      <w:r>
        <w:rPr>
          <w:i/>
          <w:color w:val="888888"/>
          <w:sz w:val="24"/>
        </w:rPr>
        <w:t>Versión limpia — Post auditoría</w:t>
      </w:r>
    </w:p>
    <w:p/>
    <w:p/>
    <w:p>
      <w:r>
        <w:br w:type="page"/>
      </w:r>
    </w:p>
    <w:p>
      <w:pPr>
        <w:pStyle w:val="Heading1"/>
      </w:pPr>
      <w:r>
        <w:rPr>
          <w:color w:val="2E4057"/>
        </w:rPr>
        <w:t>Estructura Física de Carpetas</w:t>
      </w:r>
    </w:p>
    <w:p/>
    <w:p>
      <w:r>
        <w:rPr>
          <w:b/>
          <w:color w:val="3D5A80"/>
          <w:sz w:val="22"/>
        </w:rPr>
        <w:t>Nombre del proyecto:</w:t>
      </w:r>
    </w:p>
    <w:p>
      <w:r>
        <w:rPr>
          <w:b w:val="0"/>
          <w:i w:val="0"/>
          <w:sz w:val="22"/>
        </w:rPr>
        <w:t>ees2-school-database-pipeline</w:t>
      </w:r>
    </w:p>
    <w:p/>
    <w:p>
      <w:r>
        <w:rPr>
          <w:b/>
          <w:color w:val="3D5A80"/>
          <w:sz w:val="22"/>
        </w:rPr>
        <w:t>Objetivo:</w:t>
      </w:r>
    </w:p>
    <w:p>
      <w:r>
        <w:rPr>
          <w:b w:val="0"/>
          <w:i w:val="0"/>
          <w:sz w:val="22"/>
        </w:rPr>
        <w:t>Convertir la arquitectura modular aprobada en una estructura real del proyecto.</w:t>
      </w:r>
    </w:p>
    <w:p/>
    <w:p>
      <w:r>
        <w:rPr>
          <w:b/>
          <w:color w:val="3D5A80"/>
          <w:sz w:val="22"/>
        </w:rPr>
        <w:t>Primer criterio — la estructura separa:</w:t>
      </w:r>
    </w:p>
    <w:p>
      <w:pPr>
        <w:pStyle w:val="ListBullet"/>
        <w:ind w:left="720"/>
      </w:pPr>
      <w:r>
        <w:rPr>
          <w:sz w:val="22"/>
        </w:rPr>
        <w:t>Código</w:t>
      </w:r>
    </w:p>
    <w:p>
      <w:pPr>
        <w:pStyle w:val="ListBullet"/>
        <w:ind w:left="720"/>
      </w:pPr>
      <w:r>
        <w:rPr>
          <w:sz w:val="22"/>
        </w:rPr>
        <w:t>Datos</w:t>
      </w:r>
    </w:p>
    <w:p>
      <w:pPr>
        <w:pStyle w:val="ListBullet"/>
        <w:ind w:left="720"/>
      </w:pPr>
      <w:r>
        <w:rPr>
          <w:sz w:val="22"/>
        </w:rPr>
        <w:t>Notebooks</w:t>
      </w:r>
    </w:p>
    <w:p>
      <w:pPr>
        <w:pStyle w:val="ListBullet"/>
        <w:ind w:left="720"/>
      </w:pPr>
      <w:r>
        <w:rPr>
          <w:sz w:val="22"/>
        </w:rPr>
        <w:t>Documentación</w:t>
      </w:r>
    </w:p>
    <w:p>
      <w:pPr>
        <w:pStyle w:val="ListBullet"/>
        <w:ind w:left="720"/>
      </w:pPr>
      <w:r>
        <w:rPr>
          <w:sz w:val="22"/>
        </w:rPr>
        <w:t>Base SQLite</w:t>
      </w:r>
    </w:p>
    <w:p>
      <w:pPr>
        <w:pStyle w:val="ListBullet"/>
        <w:ind w:left="720"/>
      </w:pPr>
      <w:r>
        <w:rPr>
          <w:sz w:val="22"/>
        </w:rPr>
        <w:t>Outputs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Árbol de Carpetas</w:t>
      </w:r>
    </w:p>
    <w:p/>
    <w:p>
      <w:pPr>
        <w:ind w:left="576"/>
      </w:pPr>
      <w:r>
        <w:rPr>
          <w:rFonts w:ascii="Courier New" w:hAnsi="Courier New"/>
          <w:sz w:val="20"/>
        </w:rPr>
        <w:t>ees2-school-database-pipeline/</w:t>
      </w:r>
    </w:p>
    <w:p>
      <w:pPr>
        <w:ind w:left="576"/>
      </w:pPr>
      <w:r>
        <w:rPr>
          <w:rFonts w:ascii="Courier New" w:hAnsi="Courier New"/>
          <w:sz w:val="20"/>
        </w:rPr>
        <w:t>│</w:t>
      </w:r>
    </w:p>
    <w:p>
      <w:pPr>
        <w:ind w:left="576"/>
      </w:pPr>
      <w:r>
        <w:rPr>
          <w:rFonts w:ascii="Courier New" w:hAnsi="Courier New"/>
          <w:sz w:val="20"/>
        </w:rPr>
        <w:t>├── data/</w:t>
      </w:r>
    </w:p>
    <w:p>
      <w:pPr>
        <w:ind w:left="576"/>
      </w:pPr>
      <w:r>
        <w:rPr>
          <w:rFonts w:ascii="Courier New" w:hAnsi="Courier New"/>
          <w:sz w:val="20"/>
        </w:rPr>
        <w:t>│   ├── raw/</w:t>
      </w:r>
    </w:p>
    <w:p>
      <w:pPr>
        <w:ind w:left="576"/>
      </w:pPr>
      <w:r>
        <w:rPr>
          <w:rFonts w:ascii="Courier New" w:hAnsi="Courier New"/>
          <w:sz w:val="20"/>
        </w:rPr>
        <w:t>│   │   ├── datos/</w:t>
      </w:r>
    </w:p>
    <w:p>
      <w:pPr>
        <w:ind w:left="576"/>
      </w:pPr>
      <w:r>
        <w:rPr>
          <w:rFonts w:ascii="Courier New" w:hAnsi="Courier New"/>
          <w:sz w:val="20"/>
        </w:rPr>
        <w:t>│   │   ├── legajos/</w:t>
      </w:r>
    </w:p>
    <w:p>
      <w:pPr>
        <w:ind w:left="576"/>
      </w:pPr>
      <w:r>
        <w:rPr>
          <w:rFonts w:ascii="Courier New" w:hAnsi="Courier New"/>
          <w:sz w:val="20"/>
        </w:rPr>
        <w:t>│   │   └── marzo/</w:t>
      </w:r>
    </w:p>
    <w:p>
      <w:pPr>
        <w:ind w:left="576"/>
      </w:pPr>
      <w:r>
        <w:rPr>
          <w:rFonts w:ascii="Courier New" w:hAnsi="Courier New"/>
          <w:sz w:val="20"/>
        </w:rPr>
        <w:t>│   │</w:t>
      </w:r>
    </w:p>
    <w:p>
      <w:pPr>
        <w:ind w:left="576"/>
      </w:pPr>
      <w:r>
        <w:rPr>
          <w:rFonts w:ascii="Courier New" w:hAnsi="Courier New"/>
          <w:sz w:val="20"/>
        </w:rPr>
        <w:t>│   ├── sqlite/</w:t>
      </w:r>
    </w:p>
    <w:p>
      <w:pPr>
        <w:ind w:left="576"/>
      </w:pPr>
      <w:r>
        <w:rPr>
          <w:rFonts w:ascii="Courier New" w:hAnsi="Courier New"/>
          <w:sz w:val="20"/>
        </w:rPr>
        <w:t>│   │</w:t>
      </w:r>
    </w:p>
    <w:p>
      <w:pPr>
        <w:ind w:left="576"/>
      </w:pPr>
      <w:r>
        <w:rPr>
          <w:rFonts w:ascii="Courier New" w:hAnsi="Courier New"/>
          <w:sz w:val="20"/>
        </w:rPr>
        <w:t>│   └── outputs/</w:t>
      </w:r>
    </w:p>
    <w:p>
      <w:pPr>
        <w:ind w:left="576"/>
      </w:pPr>
      <w:r>
        <w:rPr>
          <w:rFonts w:ascii="Courier New" w:hAnsi="Courier New"/>
          <w:sz w:val="20"/>
        </w:rPr>
        <w:t>│       ├── reportes/</w:t>
      </w:r>
    </w:p>
    <w:p>
      <w:pPr>
        <w:ind w:left="576"/>
      </w:pPr>
      <w:r>
        <w:rPr>
          <w:rFonts w:ascii="Courier New" w:hAnsi="Courier New"/>
          <w:sz w:val="20"/>
        </w:rPr>
        <w:t>│       └── exports/</w:t>
      </w:r>
    </w:p>
    <w:p>
      <w:pPr>
        <w:ind w:left="576"/>
      </w:pPr>
      <w:r>
        <w:rPr>
          <w:rFonts w:ascii="Courier New" w:hAnsi="Courier New"/>
          <w:sz w:val="20"/>
        </w:rPr>
        <w:t>│</w:t>
      </w:r>
    </w:p>
    <w:p>
      <w:pPr>
        <w:ind w:left="576"/>
      </w:pPr>
      <w:r>
        <w:rPr>
          <w:rFonts w:ascii="Courier New" w:hAnsi="Courier New"/>
          <w:sz w:val="20"/>
        </w:rPr>
        <w:t>├── docs/</w:t>
      </w:r>
    </w:p>
    <w:p>
      <w:pPr>
        <w:ind w:left="576"/>
      </w:pPr>
      <w:r>
        <w:rPr>
          <w:rFonts w:ascii="Courier New" w:hAnsi="Courier New"/>
          <w:sz w:val="20"/>
        </w:rPr>
        <w:t>│   ├── contratos/</w:t>
      </w:r>
    </w:p>
    <w:p>
      <w:pPr>
        <w:ind w:left="576"/>
      </w:pPr>
      <w:r>
        <w:rPr>
          <w:rFonts w:ascii="Courier New" w:hAnsi="Courier New"/>
          <w:sz w:val="20"/>
        </w:rPr>
        <w:t>│   │   ├── vigentes/</w:t>
      </w:r>
    </w:p>
    <w:p>
      <w:pPr>
        <w:ind w:left="576"/>
      </w:pPr>
      <w:r>
        <w:rPr>
          <w:rFonts w:ascii="Courier New" w:hAnsi="Courier New"/>
          <w:sz w:val="20"/>
        </w:rPr>
        <w:t>│   │   └── historicos/</w:t>
      </w:r>
    </w:p>
    <w:p>
      <w:pPr>
        <w:ind w:left="576"/>
      </w:pPr>
      <w:r>
        <w:rPr>
          <w:rFonts w:ascii="Courier New" w:hAnsi="Courier New"/>
          <w:sz w:val="20"/>
        </w:rPr>
        <w:t>│   │</w:t>
      </w:r>
    </w:p>
    <w:p>
      <w:pPr>
        <w:ind w:left="576"/>
      </w:pPr>
      <w:r>
        <w:rPr>
          <w:rFonts w:ascii="Courier New" w:hAnsi="Courier New"/>
          <w:sz w:val="20"/>
        </w:rPr>
        <w:t>│   ├── pipeline/</w:t>
      </w:r>
    </w:p>
    <w:p>
      <w:pPr>
        <w:ind w:left="576"/>
      </w:pPr>
      <w:r>
        <w:rPr>
          <w:rFonts w:ascii="Courier New" w:hAnsi="Courier New"/>
          <w:sz w:val="20"/>
        </w:rPr>
        <w:t>│   │   ├── vigentes/</w:t>
      </w:r>
    </w:p>
    <w:p>
      <w:pPr>
        <w:ind w:left="576"/>
      </w:pPr>
      <w:r>
        <w:rPr>
          <w:rFonts w:ascii="Courier New" w:hAnsi="Courier New"/>
          <w:sz w:val="20"/>
        </w:rPr>
        <w:t>│   │   └── historicos/</w:t>
      </w:r>
    </w:p>
    <w:p>
      <w:pPr>
        <w:ind w:left="576"/>
      </w:pPr>
      <w:r>
        <w:rPr>
          <w:rFonts w:ascii="Courier New" w:hAnsi="Courier New"/>
          <w:sz w:val="20"/>
        </w:rPr>
        <w:t>│   │</w:t>
      </w:r>
    </w:p>
    <w:p>
      <w:pPr>
        <w:ind w:left="576"/>
      </w:pPr>
      <w:r>
        <w:rPr>
          <w:rFonts w:ascii="Courier New" w:hAnsi="Courier New"/>
          <w:sz w:val="20"/>
        </w:rPr>
        <w:t>│   ├── auditorias/</w:t>
      </w:r>
    </w:p>
    <w:p>
      <w:pPr>
        <w:ind w:left="576"/>
      </w:pPr>
      <w:r>
        <w:rPr>
          <w:rFonts w:ascii="Courier New" w:hAnsi="Courier New"/>
          <w:sz w:val="20"/>
        </w:rPr>
        <w:t>│   ├── arquitectura/</w:t>
      </w:r>
    </w:p>
    <w:p>
      <w:pPr>
        <w:ind w:left="576"/>
      </w:pPr>
      <w:r>
        <w:rPr>
          <w:rFonts w:ascii="Courier New" w:hAnsi="Courier New"/>
          <w:sz w:val="20"/>
        </w:rPr>
        <w:t>│   └── decisiones/</w:t>
      </w:r>
    </w:p>
    <w:p>
      <w:pPr>
        <w:ind w:left="576"/>
      </w:pPr>
      <w:r>
        <w:rPr>
          <w:rFonts w:ascii="Courier New" w:hAnsi="Courier New"/>
          <w:sz w:val="20"/>
        </w:rPr>
        <w:t>│</w:t>
      </w:r>
    </w:p>
    <w:p>
      <w:pPr>
        <w:ind w:left="576"/>
      </w:pPr>
      <w:r>
        <w:rPr>
          <w:rFonts w:ascii="Courier New" w:hAnsi="Courier New"/>
          <w:sz w:val="20"/>
        </w:rPr>
        <w:t>├── notebooks/</w:t>
      </w:r>
    </w:p>
    <w:p>
      <w:pPr>
        <w:ind w:left="576"/>
      </w:pPr>
      <w:r>
        <w:rPr>
          <w:rFonts w:ascii="Courier New" w:hAnsi="Courier New"/>
          <w:sz w:val="20"/>
        </w:rPr>
        <w:t>│   ├── laboratorio/</w:t>
      </w:r>
    </w:p>
    <w:p>
      <w:pPr>
        <w:ind w:left="576"/>
      </w:pPr>
      <w:r>
        <w:rPr>
          <w:rFonts w:ascii="Courier New" w:hAnsi="Courier New"/>
          <w:sz w:val="20"/>
        </w:rPr>
        <w:t>│   └── operativo/</w:t>
      </w:r>
    </w:p>
    <w:p>
      <w:pPr>
        <w:ind w:left="576"/>
      </w:pPr>
      <w:r>
        <w:rPr>
          <w:rFonts w:ascii="Courier New" w:hAnsi="Courier New"/>
          <w:sz w:val="20"/>
        </w:rPr>
        <w:t>│</w:t>
      </w:r>
    </w:p>
    <w:p>
      <w:pPr>
        <w:ind w:left="576"/>
      </w:pPr>
      <w:r>
        <w:rPr>
          <w:rFonts w:ascii="Courier New" w:hAnsi="Courier New"/>
          <w:sz w:val="20"/>
        </w:rPr>
        <w:t>├── src/</w:t>
      </w:r>
    </w:p>
    <w:p>
      <w:pPr>
        <w:ind w:left="576"/>
      </w:pPr>
      <w:r>
        <w:rPr>
          <w:rFonts w:ascii="Courier New" w:hAnsi="Courier New"/>
          <w:sz w:val="20"/>
        </w:rPr>
        <w:t>│   ├── pipeline_alumnos.py</w:t>
      </w:r>
    </w:p>
    <w:p>
      <w:pPr>
        <w:ind w:left="576"/>
      </w:pPr>
      <w:r>
        <w:rPr>
          <w:rFonts w:ascii="Courier New" w:hAnsi="Courier New"/>
          <w:sz w:val="20"/>
        </w:rPr>
        <w:t>│   ├── config.py</w:t>
      </w:r>
    </w:p>
    <w:p>
      <w:pPr>
        <w:ind w:left="576"/>
      </w:pPr>
      <w:r>
        <w:rPr>
          <w:rFonts w:ascii="Courier New" w:hAnsi="Courier New"/>
          <w:sz w:val="20"/>
        </w:rPr>
        <w:t>│   ├── utils_texto.py</w:t>
      </w:r>
    </w:p>
    <w:p>
      <w:pPr>
        <w:ind w:left="576"/>
      </w:pPr>
      <w:r>
        <w:rPr>
          <w:rFonts w:ascii="Courier New" w:hAnsi="Courier New"/>
          <w:sz w:val="20"/>
        </w:rPr>
        <w:t>│   ├── extractores.py</w:t>
      </w:r>
    </w:p>
    <w:p>
      <w:pPr>
        <w:ind w:left="576"/>
      </w:pPr>
      <w:r>
        <w:rPr>
          <w:rFonts w:ascii="Courier New" w:hAnsi="Courier New"/>
          <w:sz w:val="20"/>
        </w:rPr>
        <w:t>│   ├── normalizacion.py</w:t>
      </w:r>
    </w:p>
    <w:p>
      <w:pPr>
        <w:ind w:left="576"/>
      </w:pPr>
      <w:r>
        <w:rPr>
          <w:rFonts w:ascii="Courier New" w:hAnsi="Courier New"/>
          <w:sz w:val="20"/>
        </w:rPr>
        <w:t>│   ├── validacion.py</w:t>
      </w:r>
    </w:p>
    <w:p>
      <w:pPr>
        <w:ind w:left="576"/>
      </w:pPr>
      <w:r>
        <w:rPr>
          <w:rFonts w:ascii="Courier New" w:hAnsi="Courier New"/>
          <w:sz w:val="20"/>
        </w:rPr>
        <w:t>│   ├── reconciliacion.py</w:t>
      </w:r>
    </w:p>
    <w:p>
      <w:pPr>
        <w:ind w:left="576"/>
      </w:pPr>
      <w:r>
        <w:rPr>
          <w:rFonts w:ascii="Courier New" w:hAnsi="Courier New"/>
          <w:sz w:val="20"/>
        </w:rPr>
        <w:t>│   ├── master.py</w:t>
      </w:r>
    </w:p>
    <w:p>
      <w:pPr>
        <w:ind w:left="576"/>
      </w:pPr>
      <w:r>
        <w:rPr>
          <w:rFonts w:ascii="Courier New" w:hAnsi="Courier New"/>
          <w:sz w:val="20"/>
        </w:rPr>
        <w:t>│   ├── contactos.py</w:t>
      </w:r>
    </w:p>
    <w:p>
      <w:pPr>
        <w:ind w:left="576"/>
      </w:pPr>
      <w:r>
        <w:rPr>
          <w:rFonts w:ascii="Courier New" w:hAnsi="Courier New"/>
          <w:sz w:val="20"/>
        </w:rPr>
        <w:t>│   └── persistencia.py</w:t>
      </w:r>
    </w:p>
    <w:p>
      <w:pPr>
        <w:ind w:left="576"/>
      </w:pPr>
      <w:r>
        <w:rPr>
          <w:rFonts w:ascii="Courier New" w:hAnsi="Courier New"/>
          <w:sz w:val="20"/>
        </w:rPr>
        <w:t>│</w:t>
      </w:r>
    </w:p>
    <w:p>
      <w:pPr>
        <w:ind w:left="576"/>
      </w:pPr>
      <w:r>
        <w:rPr>
          <w:rFonts w:ascii="Courier New" w:hAnsi="Courier New"/>
          <w:sz w:val="20"/>
        </w:rPr>
        <w:t>├── tests/</w:t>
      </w:r>
    </w:p>
    <w:p>
      <w:pPr>
        <w:ind w:left="576"/>
      </w:pPr>
      <w:r>
        <w:rPr>
          <w:rFonts w:ascii="Courier New" w:hAnsi="Courier New"/>
          <w:sz w:val="20"/>
        </w:rPr>
        <w:t>│</w:t>
      </w:r>
    </w:p>
    <w:p>
      <w:pPr>
        <w:ind w:left="576"/>
      </w:pPr>
      <w:r>
        <w:rPr>
          <w:rFonts w:ascii="Courier New" w:hAnsi="Courier New"/>
          <w:sz w:val="20"/>
        </w:rPr>
        <w:t>├── README.md</w:t>
      </w:r>
    </w:p>
    <w:p>
      <w:pPr>
        <w:ind w:left="576"/>
      </w:pPr>
      <w:r>
        <w:rPr>
          <w:rFonts w:ascii="Courier New" w:hAnsi="Courier New"/>
          <w:sz w:val="20"/>
        </w:rPr>
        <w:t>├── requirements.txt</w:t>
      </w:r>
    </w:p>
    <w:p>
      <w:pPr>
        <w:ind w:left="576"/>
      </w:pPr>
      <w:r>
        <w:rPr>
          <w:rFonts w:ascii="Courier New" w:hAnsi="Courier New"/>
          <w:sz w:val="20"/>
        </w:rPr>
        <w:t>└── .env.example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Resumen de Funciones</w:t>
      </w:r>
    </w:p>
    <w:p/>
    <w:p>
      <w:pPr>
        <w:pStyle w:val="Heading2"/>
      </w:pPr>
      <w:r>
        <w:rPr>
          <w:color w:val="2E4057"/>
        </w:rPr>
        <w:t>data/</w:t>
      </w:r>
    </w:p>
    <w:p>
      <w:r>
        <w:rPr>
          <w:b w:val="0"/>
          <w:i w:val="0"/>
          <w:sz w:val="22"/>
        </w:rPr>
        <w:t>Guarda datos y salidas.</w:t>
      </w:r>
    </w:p>
    <w:p>
      <w:pPr>
        <w:pStyle w:val="ListBullet"/>
        <w:ind w:left="720"/>
      </w:pPr>
      <w:r>
        <w:rPr>
          <w:sz w:val="22"/>
        </w:rPr>
        <w:t>raw/        — archivos fuente originales, organizados por fuente</w:t>
      </w:r>
    </w:p>
    <w:p>
      <w:pPr>
        <w:pStyle w:val="ListBullet"/>
        <w:ind w:left="720"/>
      </w:pPr>
      <w:r>
        <w:rPr>
          <w:sz w:val="22"/>
        </w:rPr>
        <w:t>sqlite/     — base de datos SQLite del pipeline</w:t>
      </w:r>
    </w:p>
    <w:p>
      <w:pPr>
        <w:pStyle w:val="ListBullet"/>
        <w:ind w:left="720"/>
      </w:pPr>
      <w:r>
        <w:rPr>
          <w:sz w:val="22"/>
        </w:rPr>
        <w:t>outputs/    — resultados procesados: reportes y exports</w:t>
      </w:r>
    </w:p>
    <w:p/>
    <w:p>
      <w:pPr>
        <w:pStyle w:val="Heading2"/>
      </w:pPr>
      <w:r>
        <w:rPr>
          <w:color w:val="2E4057"/>
        </w:rPr>
        <w:t>docs/</w:t>
      </w:r>
    </w:p>
    <w:p>
      <w:r>
        <w:rPr>
          <w:b w:val="0"/>
          <w:i w:val="0"/>
          <w:sz w:val="22"/>
        </w:rPr>
        <w:t>Guarda la documentación del proyecto.</w:t>
      </w:r>
    </w:p>
    <w:p>
      <w:pPr>
        <w:pStyle w:val="ListBullet"/>
        <w:ind w:left="720"/>
      </w:pPr>
      <w:r>
        <w:rPr>
          <w:sz w:val="22"/>
        </w:rPr>
        <w:t>contratos/    — contratos de fuentes y entidades (vigentes e históricos)</w:t>
      </w:r>
    </w:p>
    <w:p>
      <w:pPr>
        <w:pStyle w:val="ListBullet"/>
        <w:ind w:left="720"/>
      </w:pPr>
      <w:r>
        <w:rPr>
          <w:sz w:val="22"/>
        </w:rPr>
        <w:t>pipeline/     — pipeline maestro (vigente e histórico)</w:t>
      </w:r>
    </w:p>
    <w:p>
      <w:pPr>
        <w:pStyle w:val="ListBullet"/>
        <w:ind w:left="720"/>
      </w:pPr>
      <w:r>
        <w:rPr>
          <w:sz w:val="22"/>
        </w:rPr>
        <w:t>auditorias/   — registros de auditorías técnicas</w:t>
      </w:r>
    </w:p>
    <w:p>
      <w:pPr>
        <w:pStyle w:val="ListBullet"/>
        <w:ind w:left="720"/>
      </w:pPr>
      <w:r>
        <w:rPr>
          <w:sz w:val="22"/>
        </w:rPr>
        <w:t>arquitectura/ — contratos de arquitectura modular y de carpetas</w:t>
      </w:r>
    </w:p>
    <w:p>
      <w:pPr>
        <w:pStyle w:val="ListBullet"/>
        <w:ind w:left="720"/>
      </w:pPr>
      <w:r>
        <w:rPr>
          <w:sz w:val="22"/>
        </w:rPr>
        <w:t>decisiones/   — registro de decisiones de diseño relevantes</w:t>
      </w:r>
    </w:p>
    <w:p/>
    <w:p>
      <w:pPr>
        <w:pStyle w:val="Heading2"/>
      </w:pPr>
      <w:r>
        <w:rPr>
          <w:color w:val="2E4057"/>
        </w:rPr>
        <w:t>notebooks/</w:t>
      </w:r>
    </w:p>
    <w:p>
      <w:r>
        <w:rPr>
          <w:b w:val="0"/>
          <w:i w:val="0"/>
          <w:sz w:val="22"/>
        </w:rPr>
        <w:t>Guarda los notebooks Jupyter del proyecto.</w:t>
      </w:r>
    </w:p>
    <w:p>
      <w:pPr>
        <w:pStyle w:val="ListBullet"/>
        <w:ind w:left="720"/>
      </w:pPr>
      <w:r>
        <w:rPr>
          <w:sz w:val="22"/>
        </w:rPr>
        <w:t>laboratorio/  — exploración, pruebas, análisis ad hoc</w:t>
      </w:r>
    </w:p>
    <w:p>
      <w:pPr>
        <w:pStyle w:val="ListBullet"/>
        <w:ind w:left="720"/>
      </w:pPr>
      <w:r>
        <w:rPr>
          <w:sz w:val="22"/>
        </w:rPr>
        <w:t>operativo/    — notebooks del pipeline formal</w:t>
      </w:r>
    </w:p>
    <w:p/>
    <w:p>
      <w:pPr>
        <w:pStyle w:val="Heading2"/>
      </w:pPr>
      <w:r>
        <w:rPr>
          <w:color w:val="2E4057"/>
        </w:rPr>
        <w:t>src/</w:t>
      </w:r>
    </w:p>
    <w:p>
      <w:r>
        <w:rPr>
          <w:b w:val="0"/>
          <w:i w:val="0"/>
          <w:sz w:val="22"/>
        </w:rPr>
        <w:t>Guarda los módulos .py del pipeline modular.</w:t>
      </w:r>
    </w:p>
    <w:p>
      <w:r>
        <w:rPr>
          <w:i/>
          <w:color w:val="888888"/>
          <w:sz w:val="20"/>
        </w:rPr>
        <w:t>Nota: Ver Contrato 05 — Arquitectura Modular para la responsabilidad de cada módulo.</w:t>
      </w:r>
    </w:p>
    <w:p/>
    <w:p>
      <w:pPr>
        <w:pStyle w:val="Heading2"/>
      </w:pPr>
      <w:r>
        <w:rPr>
          <w:color w:val="2E4057"/>
        </w:rPr>
        <w:t>tests/</w:t>
      </w:r>
    </w:p>
    <w:p>
      <w:r>
        <w:rPr>
          <w:b w:val="0"/>
          <w:i w:val="0"/>
          <w:sz w:val="22"/>
        </w:rPr>
        <w:t>Validaciones automáticas. Se popula cuando hay módulos implementados para testear.</w:t>
      </w:r>
    </w:p>
    <w:p/>
    <w:p>
      <w:pPr>
        <w:pStyle w:val="Heading2"/>
      </w:pPr>
      <w:r>
        <w:rPr>
          <w:color w:val="2E4057"/>
        </w:rPr>
        <w:t>.env.example</w:t>
      </w:r>
    </w:p>
    <w:p>
      <w:r>
        <w:rPr>
          <w:b w:val="0"/>
          <w:i w:val="0"/>
          <w:sz w:val="22"/>
        </w:rPr>
        <w:t>Plantilla de rutas y variables de entorno. Permite ejecutar el proyecto en cualquier entorno sin tocar el código.</w:t>
      </w:r>
    </w:p>
    <w:p/>
    <w:p>
      <w:r>
        <w:br w:type="page"/>
      </w:r>
    </w:p>
    <w:p>
      <w:pPr>
        <w:pStyle w:val="Heading1"/>
      </w:pPr>
      <w:r>
        <w:rPr>
          <w:color w:val="2E4057"/>
        </w:rPr>
        <w:t>Reglas</w:t>
      </w:r>
    </w:p>
    <w:p/>
    <w:p>
      <w:pPr>
        <w:pStyle w:val="Heading2"/>
      </w:pPr>
      <w:r>
        <w:rPr>
          <w:color w:val="2E4057"/>
        </w:rPr>
        <w:t>Regla general</w:t>
      </w:r>
    </w:p>
    <w:p>
      <w:r>
        <w:rPr>
          <w:b w:val="0"/>
          <w:i/>
          <w:sz w:val="22"/>
        </w:rPr>
        <w:t>"No crear carpetas por ansiedad futura.</w:t>
      </w:r>
    </w:p>
    <w:p>
      <w:r>
        <w:rPr>
          <w:b w:val="0"/>
          <w:i/>
          <w:sz w:val="22"/>
        </w:rPr>
        <w:t>Crear carpetas cuando aparece una fuente, entidad o módulo real."</w:t>
      </w:r>
    </w:p>
    <w:p/>
    <w:p>
      <w:pPr>
        <w:pStyle w:val="Heading2"/>
      </w:pPr>
      <w:r>
        <w:rPr>
          <w:color w:val="2E4057"/>
        </w:rPr>
        <w:t>Para docs/ — vigentes e históricos</w:t>
      </w:r>
    </w:p>
    <w:p>
      <w:r>
        <w:rPr>
          <w:b/>
          <w:color w:val="3D5A80"/>
          <w:sz w:val="22"/>
        </w:rPr>
        <w:t>Archivos vigentes:</w:t>
      </w:r>
    </w:p>
    <w:p>
      <w:pPr>
        <w:pStyle w:val="ListBullet"/>
        <w:ind w:left="720"/>
      </w:pPr>
      <w:r>
        <w:rPr>
          <w:sz w:val="22"/>
        </w:rPr>
        <w:t>Última versión aprobada de cada documento.</w:t>
      </w:r>
    </w:p>
    <w:p/>
    <w:p>
      <w:r>
        <w:rPr>
          <w:b/>
          <w:color w:val="3D5A80"/>
          <w:sz w:val="22"/>
        </w:rPr>
        <w:t>Archivos históricos:</w:t>
      </w:r>
    </w:p>
    <w:p>
      <w:pPr>
        <w:pStyle w:val="ListBullet"/>
        <w:ind w:left="720"/>
      </w:pPr>
      <w:r>
        <w:rPr>
          <w:sz w:val="22"/>
        </w:rPr>
        <w:t>Versiones anteriores relevantes, conservadas para trazabilidad.</w:t>
      </w:r>
    </w:p>
    <w:p/>
    <w:p>
      <w:pPr>
        <w:pStyle w:val="Heading2"/>
      </w:pPr>
      <w:r>
        <w:rPr>
          <w:color w:val="2E4057"/>
        </w:rPr>
        <w:t>Para futuras fuentes o entidades</w:t>
      </w:r>
    </w:p>
    <w:p>
      <w:r>
        <w:rPr>
          <w:b w:val="0"/>
          <w:i w:val="0"/>
          <w:sz w:val="22"/>
        </w:rPr>
        <w:t>Cuando aparece una nueva fuente de datos:</w:t>
      </w:r>
    </w:p>
    <w:p>
      <w:pPr>
        <w:ind w:left="576"/>
      </w:pPr>
      <w:r>
        <w:rPr>
          <w:rFonts w:ascii="Courier New" w:hAnsi="Courier New"/>
          <w:sz w:val="20"/>
        </w:rPr>
        <w:t>data/raw/[nombre_fuente]/   ← se crea cuando aparece la fuente real</w:t>
      </w:r>
    </w:p>
    <w:p/>
    <w:p>
      <w:r>
        <w:rPr>
          <w:b w:val="0"/>
          <w:i w:val="0"/>
          <w:sz w:val="22"/>
        </w:rPr>
        <w:t>Ejemplos futuros:</w:t>
      </w:r>
    </w:p>
    <w:p>
      <w:pPr>
        <w:pStyle w:val="ListBullet"/>
        <w:ind w:left="720"/>
      </w:pPr>
      <w:r>
        <w:rPr>
          <w:sz w:val="22"/>
        </w:rPr>
        <w:t>data/raw/docentes/</w:t>
      </w:r>
    </w:p>
    <w:p>
      <w:pPr>
        <w:pStyle w:val="ListBullet"/>
        <w:ind w:left="720"/>
      </w:pPr>
      <w:r>
        <w:rPr>
          <w:sz w:val="22"/>
        </w:rPr>
        <w:t>data/raw/preceptores/</w:t>
      </w:r>
    </w:p>
    <w:p/>
    <w:p>
      <w:pPr>
        <w:pStyle w:val="Heading2"/>
      </w:pPr>
      <w:r>
        <w:rPr>
          <w:color w:val="2E4057"/>
        </w:rPr>
        <w:t>Convención de nombres de archivos</w:t>
      </w:r>
    </w:p>
    <w:p>
      <w:r>
        <w:rPr>
          <w:b w:val="0"/>
          <w:i w:val="0"/>
          <w:sz w:val="22"/>
        </w:rPr>
        <w:t>Formato:</w:t>
      </w:r>
    </w:p>
    <w:p>
      <w:pPr>
        <w:ind w:left="576"/>
      </w:pPr>
      <w:r>
        <w:rPr>
          <w:rFonts w:ascii="Courier New" w:hAnsi="Courier New"/>
          <w:sz w:val="20"/>
        </w:rPr>
        <w:t>[tipo]_[fuente_o_entidad]_[curso]_[division]_[anio].[ext]</w:t>
      </w:r>
    </w:p>
    <w:p/>
    <w:p>
      <w:r>
        <w:rPr>
          <w:b w:val="0"/>
          <w:i w:val="0"/>
          <w:sz w:val="22"/>
        </w:rPr>
        <w:t>Ejemplos:</w:t>
      </w:r>
    </w:p>
    <w:p>
      <w:pPr>
        <w:pStyle w:val="ListBullet"/>
        <w:ind w:left="720"/>
      </w:pPr>
      <w:r>
        <w:rPr>
          <w:sz w:val="22"/>
        </w:rPr>
        <w:t>reporte_datos_1ro_1ra_2025.csv</w:t>
      </w:r>
    </w:p>
    <w:p>
      <w:pPr>
        <w:pStyle w:val="ListBullet"/>
        <w:ind w:left="720"/>
      </w:pPr>
      <w:r>
        <w:rPr>
          <w:sz w:val="22"/>
        </w:rPr>
        <w:t>reporte_contactos_1ro_1ra_2025.csv</w:t>
      </w:r>
    </w:p>
    <w:p>
      <w:pPr>
        <w:pStyle w:val="ListBullet"/>
        <w:ind w:left="720"/>
      </w:pPr>
      <w:r>
        <w:rPr>
          <w:sz w:val="22"/>
        </w:rPr>
        <w:t>alumnos_master_1ro_1ra_2025.csv</w:t>
      </w:r>
    </w:p>
    <w:p>
      <w:pPr>
        <w:pStyle w:val="ListBullet"/>
        <w:ind w:left="720"/>
      </w:pPr>
      <w:r>
        <w:rPr>
          <w:sz w:val="22"/>
        </w:rPr>
        <w:t>contactos_validos_1ro_1ra_2025.csv</w:t>
      </w:r>
    </w:p>
    <w:p/>
    <w:p/>
    <w:p>
      <w:pPr>
        <w:jc w:val="center"/>
      </w:pPr>
      <w:r>
        <w:rPr>
          <w:i/>
          <w:color w:val="888888"/>
          <w:sz w:val="20"/>
        </w:rPr>
        <w:t>06 — Contrato de Arquitectura de Carpetas — EES N°2 — 2025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