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1F3864"/>
          <w:sz w:val="20"/>
          <w:szCs w:val="20"/>
        </w:rPr>
        <w:t xml:space="preserve">POLICY BRIEF</w:t>
      </w:r>
    </w:p>
    <w:p>
      <w:pPr>
        <w:spacing w:after="120"/>
      </w:pPr>
      <w:r>
        <w:rPr>
          <w:b/>
          <w:bCs/>
          <w:color w:val="1F3864"/>
          <w:sz w:val="34"/>
          <w:szCs w:val="34"/>
        </w:rPr>
        <w:t xml:space="preserve">Nigeria's Macroeconomic Trajectory, 2015–2026: Inflation Measurement, Monetary Policy Credibility, and the Post-Subsidy Adjustment</w:t>
      </w:r>
    </w:p>
    <w:p>
      <w:pPr>
        <w:pBdr>
          <w:bottom w:val="single" w:color="1F3864" w:sz="6" w:space="8"/>
        </w:pBdr>
        <w:spacing w:after="240"/>
      </w:pPr>
      <w:r>
        <w:rPr>
          <w:i/>
          <w:iCs/>
          <w:color w:val="595959"/>
          <w:sz w:val="20"/>
          <w:szCs w:val="20"/>
        </w:rPr>
        <w:t xml:space="preserve">Prepared by Aminu Momodu Audu  |  Data Analyst  |  August 2026</w:t>
      </w:r>
    </w:p>
    <w:p>
      <w:pPr>
        <w:pStyle w:val="Heading1"/>
        <w:spacing w:after="120" w:before="240"/>
      </w:pPr>
      <w:r>
        <w:t xml:space="preserve">Executive Summary</w:t>
      </w:r>
    </w:p>
    <w:p>
      <w:pPr>
        <w:spacing w:after="160" w:line="276"/>
        <w:jc w:val="both"/>
      </w:pPr>
      <w:r>
        <w:rPr>
          <w:sz w:val="22"/>
          <w:szCs w:val="22"/>
        </w:rPr>
        <w:t xml:space="preserve">Nigeria's macroeconomic environment between 2015 and 2026 has been defined by three interlocking developments: a currency that depreciated from roughly ₦170 to over ₦1,370 per US dollar, an inflation rate that peaked near 35% before easing through 2025, and a Monetary Policy Rate (MPR) that rose from 11% to 27.5% without consistently keeping pace with price growth. Drawing on a purpose-built database of official Central Bank of Nigeria (CBN) and National Bureau of Statistics (NBS) data spanning inflation, exchange rates, interest rates, money supply, reserves, and banking sector health, this brief identifies three structural issues that merit policy attention: a persistently negative real policy rate that has undermined the credibility of nominal rate hikes; a lack of visible fiscal-monetary coordination during the 2023 subsidy removal and currency unification, which coincided with unprecedented money supply growth; and a measurable, undisclosed discrepancy between CBN- and NBS-published inflation figures following the 2025 CPI rebasing. Three recommendations follow directly from this evidence.</w:t>
      </w:r>
    </w:p>
    <w:p>
      <w:pPr>
        <w:pStyle w:val="Heading1"/>
        <w:spacing w:after="120" w:before="240"/>
      </w:pPr>
      <w:r>
        <w:t xml:space="preserve">Context</w:t>
      </w:r>
    </w:p>
    <w:p>
      <w:pPr>
        <w:spacing w:after="160" w:line="276"/>
        <w:jc w:val="both"/>
      </w:pPr>
      <w:r>
        <w:rPr>
          <w:sz w:val="22"/>
          <w:szCs w:val="22"/>
        </w:rPr>
        <w:t xml:space="preserve">Since 2023, Nigeria has undertaken two of its most significant macroeconomic reforms in a generation: the removal of the petrol subsidy in May 2023 and the unification of the foreign exchange market shortly thereafter. Both were widely framed as necessary corrections to long-standing fiscal and monetary distortions. This brief evaluates their observable macroeconomic consequences using official data, and asks a narrower but policy-relevant question: have the instruments used to manage the transition — principally the Monetary Policy Rate — kept pace with the inflationary and currency pressures the reforms unleashed, and has the public been given a consistent statistical picture of the outcome?</w:t>
      </w:r>
    </w:p>
    <w:p>
      <w:pPr>
        <w:pStyle w:val="Heading1"/>
        <w:spacing w:after="120" w:before="240"/>
      </w:pPr>
      <w:r>
        <w:t xml:space="preserve">Key Findings</w:t>
      </w:r>
    </w:p>
    <w:p>
      <w:pPr>
        <w:pStyle w:val="ListParagraph"/>
        <w:numPr>
          <w:ilvl w:val="0"/>
          <w:numId w:val="2"/>
        </w:numPr>
        <w:spacing w:after="140" w:line="276"/>
      </w:pPr>
      <w:r>
        <w:rPr>
          <w:b/>
          <w:bCs/>
          <w:sz w:val="22"/>
          <w:szCs w:val="22"/>
        </w:rPr>
        <w:t xml:space="preserve">The real policy rate has been negative in most years since 2016. </w:t>
      </w:r>
      <w:r>
        <w:rPr>
          <w:sz w:val="22"/>
          <w:szCs w:val="22"/>
        </w:rPr>
        <w:t xml:space="preserve">Comparing the MPR to year-end headline inflation shows a real (inflation-adjusted) policy rate that was negative in 7 of the last 9 years, falling to -10.17 percentage points in 2023 and -7.30 in 2024. Even as CBN raised the nominal MPR from 11.5% to 27.5% between 2020 and 2024, inflation rose faster in most of those years, meaning monetary policy remained accommodative in real terms throughout the period it was nominally described as tightening.</w:t>
      </w:r>
    </w:p>
    <w:p>
      <w:pPr>
        <w:pStyle w:val="ListParagraph"/>
        <w:numPr>
          <w:ilvl w:val="0"/>
          <w:numId w:val="2"/>
        </w:numPr>
        <w:spacing w:after="140" w:line="276"/>
      </w:pPr>
      <w:r>
        <w:rPr>
          <w:b/>
          <w:bCs/>
          <w:sz w:val="22"/>
          <w:szCs w:val="22"/>
        </w:rPr>
        <w:t xml:space="preserve">Money supply growth accelerated sharply during the reform period. </w:t>
      </w:r>
      <w:r>
        <w:rPr>
          <w:sz w:val="22"/>
          <w:szCs w:val="22"/>
        </w:rPr>
        <w:t xml:space="preserve">Broad Money growth, which had averaged roughly 14% per year between 2018 and 2022, jumped to 51.86% in 2023 and 43.03% in 2024 — the two highest readings in the dataset. This acceleration coincides precisely with the period of highest recorded inflation (28.92% and 34.80% respectively), consistent with a monetarist reading of the post-subsidy inflation surge.</w:t>
      </w:r>
    </w:p>
    <w:p>
      <w:pPr>
        <w:pStyle w:val="ListParagraph"/>
        <w:numPr>
          <w:ilvl w:val="0"/>
          <w:numId w:val="2"/>
        </w:numPr>
        <w:spacing w:after="140" w:line="276"/>
      </w:pPr>
      <w:r>
        <w:rPr>
          <w:b/>
          <w:bCs/>
          <w:sz w:val="22"/>
          <w:szCs w:val="22"/>
        </w:rPr>
        <w:t xml:space="preserve">The subsidy removal and FX unification produced an immediate, measurable shock. </w:t>
      </w:r>
      <w:r>
        <w:rPr>
          <w:sz w:val="22"/>
          <w:szCs w:val="22"/>
        </w:rPr>
        <w:t xml:space="preserve">Comparing the twelve months before and after the May 2023 subsidy removal, average headline inflation rose from 21.15% to 28.86%, and the average exchange rate more than doubled, from ₦444.79 to ₦1,005.87 per US dollar. Both reforms are well-justified on structural grounds, but their combined near-simultaneous implementation produced a compounding shock that fiscal transfers and monetary tightening only partially absorbed.</w:t>
      </w:r>
    </w:p>
    <w:p>
      <w:pPr>
        <w:pStyle w:val="ListParagraph"/>
        <w:numPr>
          <w:ilvl w:val="0"/>
          <w:numId w:val="2"/>
        </w:numPr>
        <w:spacing w:after="140" w:line="276"/>
      </w:pPr>
      <w:r>
        <w:rPr>
          <w:b/>
          <w:bCs/>
          <w:sz w:val="22"/>
          <w:szCs w:val="22"/>
        </w:rPr>
        <w:t xml:space="preserve">CBN and NBS inflation figures have diverged by 2.9 to 3.9 percentage points since January 2025. </w:t>
      </w:r>
      <w:r>
        <w:rPr>
          <w:sz w:val="22"/>
          <w:szCs w:val="22"/>
        </w:rPr>
        <w:t xml:space="preserve">Every month of data prior to January 2025 shows CBN and NBS headline inflation figures matching exactly (a 0.00 gap), consistent with CBN historically republishing NBS's own figures. From January 2025 onward, a consistent gap of 2.9–3.9 percentage points appears and persists, coinciding precisely with NBS's rebasing of the CPI to a 2024=100 base year. No corresponding public reconciliation of the two series was identified in the course of this research.</w:t>
      </w:r>
    </w:p>
    <w:p>
      <w:pPr>
        <w:pStyle w:val="ListParagraph"/>
        <w:numPr>
          <w:ilvl w:val="0"/>
          <w:numId w:val="2"/>
        </w:numPr>
        <w:spacing w:after="140" w:line="276"/>
      </w:pPr>
      <w:r>
        <w:rPr>
          <w:b/>
          <w:bCs/>
          <w:sz w:val="22"/>
          <w:szCs w:val="22"/>
        </w:rPr>
        <w:t xml:space="preserve">The banking sector absorbed the volatility without a systemic liquidity event. </w:t>
      </w:r>
      <w:r>
        <w:rPr>
          <w:sz w:val="22"/>
          <w:szCs w:val="22"/>
        </w:rPr>
        <w:t xml:space="preserve">Despite the currency devaluation and rate-hiking cycle, commercial banks' liquidity ratio and loan-to-deposit ratio remained within CBN's regulatory bounds in every year from 2015 to 2024. This is a genuine point of resilience and suggests the transmission of macro shocks into the banking sector was contained, even as it was pronounced in prices and the exchange rate.</w:t>
      </w:r>
    </w:p>
    <w:p>
      <w:pPr>
        <w:pStyle w:val="Heading1"/>
        <w:spacing w:after="120" w:before="240"/>
      </w:pPr>
      <w:r>
        <w:t xml:space="preserve">Policy Recommendations</w:t>
      </w:r>
    </w:p>
    <w:p>
      <w:pPr>
        <w:pStyle w:val="Heading2"/>
        <w:spacing w:after="120" w:before="240"/>
      </w:pPr>
      <w:r>
        <w:t xml:space="preserve">1. Anchor the Monetary Policy Rate to a real (inflation-adjusted) target, not a nominal one.</w:t>
      </w:r>
    </w:p>
    <w:p>
      <w:pPr>
        <w:spacing w:after="160" w:line="276"/>
        <w:jc w:val="both"/>
      </w:pPr>
      <w:r>
        <w:rPr>
          <w:sz w:val="22"/>
          <w:szCs w:val="22"/>
        </w:rPr>
        <w:t xml:space="preserve">The persistence of a negative real policy rate across most of the review period suggests that nominal MPR adjustments have functioned more as signalling than as effective demand management. CBN should consider explicitly communicating a real rate target — for example, a minimum positive real rate band — as part of its Monetary Policy Committee communiqués. This would give markets and the public a clearer basis for evaluating whether a given rate decision is genuinely restrictive, and would reduce the credibility gap between announced tightening and its measured effect on inflation.</w:t>
      </w:r>
    </w:p>
    <w:p>
      <w:pPr>
        <w:pStyle w:val="Heading2"/>
        <w:spacing w:after="120" w:before="240"/>
      </w:pPr>
      <w:r>
        <w:t xml:space="preserve">2. Sequence major fiscal and monetary reforms with an explicit money supply ceiling.</w:t>
      </w:r>
    </w:p>
    <w:p>
      <w:pPr>
        <w:spacing w:after="160" w:line="276"/>
        <w:jc w:val="both"/>
      </w:pPr>
      <w:r>
        <w:rPr>
          <w:sz w:val="22"/>
          <w:szCs w:val="22"/>
        </w:rPr>
        <w:t xml:space="preserve">The near-simultaneous subsidy removal and FX unification of 2023 coincided with the sharpest money supply expansion in the dataset. Future structural reforms of comparable scale should be paired with a pre-announced, time-bound constraint on money supply growth — communicated jointly by the Ministry of Finance and CBN — to prevent the kind of compounding fiscal-monetary shock observed in 2023–2024. Where reforms cannot be delayed, phased implementation (for example, gradual subsidy withdrawal rather than a single removal) would allow monetary policy more room to respond before price and currency effects compound.</w:t>
      </w:r>
    </w:p>
    <w:p>
      <w:pPr>
        <w:pStyle w:val="Heading2"/>
        <w:spacing w:after="120" w:before="240"/>
      </w:pPr>
      <w:r>
        <w:t xml:space="preserve">3. Establish a joint CBN-NBS inflation reconciliation statement following methodology changes.</w:t>
      </w:r>
    </w:p>
    <w:p>
      <w:pPr>
        <w:spacing w:after="160" w:line="276"/>
        <w:jc w:val="both"/>
      </w:pPr>
      <w:r>
        <w:rPr>
          <w:sz w:val="22"/>
          <w:szCs w:val="22"/>
        </w:rPr>
        <w:t xml:space="preserve">The 2025 CPI rebasing is methodologically justified, but the resulting 2.9–3.9 percentage point gap between CBN and NBS figures, if left unexplained, risks being read as inconsistency rather than improved measurement. A short joint technical note — published whenever either institution changes its inflation methodology — explaining the size and direction of the resulting gap would preserve public confidence in both series and pre-empt the kind of source discrepancy this brief had to reconstruct independently from public data.</w:t>
      </w:r>
    </w:p>
    <w:p>
      <w:pPr>
        <w:pStyle w:val="Heading1"/>
        <w:spacing w:after="120" w:before="240"/>
      </w:pPr>
      <w:r>
        <w:t xml:space="preserve">Conclusion</w:t>
      </w:r>
    </w:p>
    <w:p>
      <w:pPr>
        <w:spacing w:after="160" w:line="276"/>
        <w:jc w:val="both"/>
      </w:pPr>
      <w:r>
        <w:rPr>
          <w:sz w:val="22"/>
          <w:szCs w:val="22"/>
        </w:rPr>
        <w:t xml:space="preserve">The data assembled for this brief tell a coherent story: Nigeria's 2023–2024 reforms were substantively justified, but their macroeconomic management leaves three specific, addressable gaps — a monetary policy stance that has rarely been restrictive in real terms, a lack of visible coordination between fiscal reform timing and money supply management, and a statistical transition that has not been publicly reconciled. Addressing these does not require reversing the reform agenda; it requires tightening the connective tissue between policy instruments, and being more explicit with the public about what the numbers show.</w:t>
      </w:r>
    </w:p>
    <w:p>
      <w:pPr>
        <w:pBdr>
          <w:top w:val="single" w:color="BFBFBF" w:sz="4" w:space="8"/>
        </w:pBdr>
        <w:spacing w:before="300"/>
      </w:pPr>
      <w:r>
        <w:rPr>
          <w:i/>
          <w:iCs/>
          <w:color w:val="595959"/>
          <w:sz w:val="18"/>
          <w:szCs w:val="18"/>
        </w:rPr>
        <w:t xml:space="preserve">Methodology note: All figures in this brief are drawn from a Python/SQL data pipeline built on official CBN rate exports, CBN Statistical Bulletins, and NBS Nigeria Data Portal series (2015–2026). Full source code, cleaned datasets, and the accompanying analytical dashboard are available at github.com/Amimu-1/nigeria-macro-intelligence-dashboard.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2026-08-02T09:53:24.576Z</dcterms:created>
  <dcterms:modified xsi:type="dcterms:W3CDTF">2026-08-02T09:53:24.595Z</dcterms:modified>
</cp:coreProperties>
</file>

<file path=docProps/custom.xml><?xml version="1.0" encoding="utf-8"?>
<Properties xmlns="http://schemas.openxmlformats.org/officeDocument/2006/custom-properties" xmlns:vt="http://schemas.openxmlformats.org/officeDocument/2006/docPropsVTypes"/>
</file>