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350" w:rsidRPr="00EA1350" w:rsidRDefault="00EA1350" w:rsidP="00EA1350">
      <w:pPr>
        <w:spacing w:line="360" w:lineRule="auto"/>
        <w:ind w:firstLine="270"/>
        <w:rPr>
          <w:rStyle w:val="alt-edited"/>
          <w:rFonts w:asciiTheme="majorBidi" w:hAnsiTheme="majorBidi" w:cstheme="majorBidi"/>
          <w:lang w:val="en"/>
        </w:rPr>
      </w:pPr>
      <w:r w:rsidRPr="00EA1350">
        <w:rPr>
          <w:rStyle w:val="alt-edited"/>
          <w:rFonts w:asciiTheme="majorBidi" w:hAnsiTheme="majorBidi" w:cstheme="majorBidi"/>
          <w:lang w:val="en"/>
        </w:rPr>
        <w:t xml:space="preserve">SSFCM was proposed by </w:t>
      </w:r>
      <w:proofErr w:type="spellStart"/>
      <w:r w:rsidRPr="00EA1350">
        <w:rPr>
          <w:rStyle w:val="alt-edited"/>
          <w:rFonts w:asciiTheme="majorBidi" w:hAnsiTheme="majorBidi" w:cstheme="majorBidi"/>
          <w:lang w:val="en"/>
        </w:rPr>
        <w:t>Pedrycz</w:t>
      </w:r>
      <w:proofErr w:type="spellEnd"/>
      <w:r w:rsidRPr="00EA1350">
        <w:rPr>
          <w:rStyle w:val="alt-edited"/>
          <w:rFonts w:asciiTheme="majorBidi" w:hAnsiTheme="majorBidi" w:cstheme="majorBidi"/>
          <w:lang w:val="en"/>
        </w:rPr>
        <w:t xml:space="preserve"> and </w:t>
      </w:r>
      <w:proofErr w:type="spellStart"/>
      <w:r w:rsidRPr="00EA1350">
        <w:rPr>
          <w:rStyle w:val="alt-edited"/>
          <w:rFonts w:asciiTheme="majorBidi" w:hAnsiTheme="majorBidi" w:cstheme="majorBidi"/>
          <w:lang w:val="en"/>
        </w:rPr>
        <w:t>Waletzky</w:t>
      </w:r>
      <w:proofErr w:type="spellEnd"/>
      <w:r w:rsidRPr="00EA1350">
        <w:rPr>
          <w:rStyle w:val="alt-edited"/>
          <w:rFonts w:asciiTheme="majorBidi" w:hAnsiTheme="majorBidi" w:cstheme="majorBidi"/>
          <w:lang w:val="en"/>
        </w:rPr>
        <w:t xml:space="preserve"> in 1997 as a semi-supervised extension of FCM, which enhances the clustering procedure by injecting the class </w:t>
      </w:r>
      <w:proofErr w:type="gramStart"/>
      <w:r w:rsidRPr="00EA1350">
        <w:rPr>
          <w:rStyle w:val="alt-edited"/>
          <w:rFonts w:asciiTheme="majorBidi" w:hAnsiTheme="majorBidi" w:cstheme="majorBidi"/>
          <w:lang w:val="en"/>
        </w:rPr>
        <w:t>l</w:t>
      </w:r>
      <w:proofErr w:type="spellStart"/>
      <w:r w:rsidRPr="00EA1350">
        <w:t>abels</w:t>
      </w:r>
      <w:proofErr w:type="spellEnd"/>
      <w:r w:rsidRPr="00EA1350">
        <w:t>'</w:t>
      </w:r>
      <w:r w:rsidRPr="00EA1350" w:rsidDel="00BE4E80">
        <w:rPr>
          <w:rStyle w:val="alt-edited"/>
          <w:rFonts w:asciiTheme="majorBidi" w:hAnsiTheme="majorBidi" w:cstheme="majorBidi"/>
          <w:lang w:val="en"/>
        </w:rPr>
        <w:t xml:space="preserve"> </w:t>
      </w:r>
      <w:r w:rsidRPr="00EA1350">
        <w:rPr>
          <w:rStyle w:val="alt-edited"/>
          <w:rFonts w:asciiTheme="majorBidi" w:hAnsiTheme="majorBidi" w:cstheme="majorBidi"/>
          <w:lang w:val="en"/>
        </w:rPr>
        <w:t xml:space="preserve"> prior</w:t>
      </w:r>
      <w:proofErr w:type="gramEnd"/>
      <w:r w:rsidRPr="00EA1350">
        <w:rPr>
          <w:rStyle w:val="alt-edited"/>
          <w:rFonts w:asciiTheme="majorBidi" w:hAnsiTheme="majorBidi" w:cstheme="majorBidi"/>
          <w:lang w:val="en"/>
        </w:rPr>
        <w:t xml:space="preserve"> knowledge into the FCM. In SSFCM, the data is considered a union of </w:t>
      </w:r>
      <m:oMath>
        <m:sSub>
          <m:sSubPr>
            <m:ctrlPr>
              <w:rPr>
                <w:rStyle w:val="alt-edited"/>
                <w:rFonts w:ascii="Cambria Math" w:hAnsi="Cambria Math" w:cstheme="majorBidi"/>
                <w:i/>
                <w:lang w:val="en"/>
              </w:rPr>
            </m:ctrlPr>
          </m:sSubPr>
          <m:e>
            <m:r>
              <w:rPr>
                <w:rStyle w:val="alt-edited"/>
                <w:rFonts w:ascii="Cambria Math" w:hAnsi="Cambria Math" w:cstheme="majorBidi"/>
                <w:lang w:val="en"/>
              </w:rPr>
              <m:t>N</m:t>
            </m:r>
          </m:e>
          <m:sub>
            <m:r>
              <w:rPr>
                <w:rStyle w:val="alt-edited"/>
                <w:rFonts w:ascii="Cambria Math" w:hAnsi="Cambria Math" w:cstheme="majorBidi"/>
                <w:lang w:val="en"/>
              </w:rPr>
              <m:t>l</m:t>
            </m:r>
          </m:sub>
        </m:sSub>
      </m:oMath>
      <w:r w:rsidRPr="00EA1350">
        <w:rPr>
          <w:rStyle w:val="alt-edited"/>
          <w:rFonts w:asciiTheme="majorBidi" w:eastAsiaTheme="minorEastAsia" w:hAnsiTheme="majorBidi" w:cstheme="majorBidi"/>
          <w:lang w:val="en"/>
        </w:rPr>
        <w:t xml:space="preserve"> labeled instances, and </w:t>
      </w:r>
      <m:oMath>
        <m:sSub>
          <m:sSubPr>
            <m:ctrlPr>
              <w:rPr>
                <w:rStyle w:val="alt-edited"/>
                <w:rFonts w:ascii="Cambria Math" w:eastAsiaTheme="minorEastAsia" w:hAnsi="Cambria Math" w:cstheme="majorBidi"/>
                <w:i/>
                <w:lang w:val="en"/>
              </w:rPr>
            </m:ctrlPr>
          </m:sSubPr>
          <m:e>
            <m:r>
              <w:rPr>
                <w:rStyle w:val="alt-edited"/>
                <w:rFonts w:ascii="Cambria Math" w:eastAsiaTheme="minorEastAsia" w:hAnsi="Cambria Math" w:cstheme="majorBidi"/>
                <w:lang w:val="en"/>
              </w:rPr>
              <m:t>N</m:t>
            </m:r>
          </m:e>
          <m:sub>
            <m:r>
              <w:rPr>
                <w:rStyle w:val="alt-edited"/>
                <w:rFonts w:ascii="Cambria Math" w:eastAsiaTheme="minorEastAsia" w:hAnsi="Cambria Math" w:cstheme="majorBidi"/>
                <w:lang w:val="en"/>
              </w:rPr>
              <m:t>u</m:t>
            </m:r>
          </m:sub>
        </m:sSub>
        <m:r>
          <w:rPr>
            <w:rStyle w:val="alt-edited"/>
            <w:rFonts w:ascii="Cambria Math" w:eastAsiaTheme="minorEastAsia" w:hAnsi="Cambria Math" w:cstheme="majorBidi"/>
            <w:lang w:val="en"/>
          </w:rPr>
          <m:t>=N-</m:t>
        </m:r>
        <m:sSub>
          <m:sSubPr>
            <m:ctrlPr>
              <w:rPr>
                <w:rStyle w:val="alt-edited"/>
                <w:rFonts w:ascii="Cambria Math" w:eastAsiaTheme="minorEastAsia" w:hAnsi="Cambria Math" w:cstheme="majorBidi"/>
                <w:i/>
                <w:lang w:val="en"/>
              </w:rPr>
            </m:ctrlPr>
          </m:sSubPr>
          <m:e>
            <m:r>
              <w:rPr>
                <w:rStyle w:val="alt-edited"/>
                <w:rFonts w:ascii="Cambria Math" w:eastAsiaTheme="minorEastAsia" w:hAnsi="Cambria Math" w:cstheme="majorBidi"/>
                <w:lang w:val="en"/>
              </w:rPr>
              <m:t>N</m:t>
            </m:r>
          </m:e>
          <m:sub>
            <m:r>
              <w:rPr>
                <w:rStyle w:val="alt-edited"/>
                <w:rFonts w:ascii="Cambria Math" w:eastAsiaTheme="minorEastAsia" w:hAnsi="Cambria Math" w:cstheme="majorBidi"/>
                <w:lang w:val="en"/>
              </w:rPr>
              <m:t>l</m:t>
            </m:r>
          </m:sub>
        </m:sSub>
      </m:oMath>
      <w:r w:rsidRPr="00EA1350">
        <w:rPr>
          <w:rStyle w:val="alt-edited"/>
          <w:rFonts w:asciiTheme="majorBidi" w:eastAsiaTheme="minorEastAsia" w:hAnsiTheme="majorBidi" w:cstheme="majorBidi"/>
          <w:lang w:val="en"/>
        </w:rPr>
        <w:t xml:space="preserve"> unlabeled instances, </w:t>
      </w:r>
      <w:proofErr w:type="gramStart"/>
      <w:r w:rsidRPr="00EA1350">
        <w:rPr>
          <w:rStyle w:val="alt-edited"/>
          <w:rFonts w:asciiTheme="majorBidi" w:eastAsiaTheme="minorEastAsia" w:hAnsiTheme="majorBidi" w:cstheme="majorBidi"/>
          <w:lang w:val="en"/>
        </w:rPr>
        <w:t xml:space="preserve">where </w:t>
      </w:r>
      <w:proofErr w:type="gramEnd"/>
      <m:oMath>
        <m:sSub>
          <m:sSubPr>
            <m:ctrlPr>
              <w:rPr>
                <w:rStyle w:val="alt-edited"/>
                <w:rFonts w:ascii="Cambria Math" w:hAnsi="Cambria Math" w:cstheme="majorBidi"/>
                <w:i/>
                <w:lang w:val="en"/>
              </w:rPr>
            </m:ctrlPr>
          </m:sSubPr>
          <m:e>
            <m:r>
              <w:rPr>
                <w:rStyle w:val="alt-edited"/>
                <w:rFonts w:ascii="Cambria Math" w:hAnsi="Cambria Math" w:cstheme="majorBidi"/>
                <w:lang w:val="en"/>
              </w:rPr>
              <m:t>N</m:t>
            </m:r>
          </m:e>
          <m:sub>
            <m:r>
              <w:rPr>
                <w:rStyle w:val="alt-edited"/>
                <w:rFonts w:ascii="Cambria Math" w:hAnsi="Cambria Math" w:cstheme="majorBidi"/>
                <w:lang w:val="en"/>
              </w:rPr>
              <m:t>l</m:t>
            </m:r>
          </m:sub>
        </m:sSub>
        <m:r>
          <w:rPr>
            <w:rStyle w:val="alt-edited"/>
            <w:rFonts w:ascii="Cambria Math" w:hAnsi="Cambria Math" w:cstheme="majorBidi"/>
            <w:lang w:val="en"/>
          </w:rPr>
          <m:t>≪</m:t>
        </m:r>
        <m:sSub>
          <m:sSubPr>
            <m:ctrlPr>
              <w:rPr>
                <w:rStyle w:val="alt-edited"/>
                <w:rFonts w:ascii="Cambria Math" w:hAnsi="Cambria Math" w:cstheme="majorBidi"/>
                <w:i/>
                <w:lang w:val="en"/>
              </w:rPr>
            </m:ctrlPr>
          </m:sSubPr>
          <m:e>
            <m:r>
              <w:rPr>
                <w:rStyle w:val="alt-edited"/>
                <w:rFonts w:ascii="Cambria Math" w:hAnsi="Cambria Math" w:cstheme="majorBidi"/>
                <w:lang w:val="en"/>
              </w:rPr>
              <m:t>N</m:t>
            </m:r>
          </m:e>
          <m:sub>
            <m:r>
              <w:rPr>
                <w:rStyle w:val="alt-edited"/>
                <w:rFonts w:ascii="Cambria Math" w:hAnsi="Cambria Math" w:cstheme="majorBidi"/>
                <w:lang w:val="en"/>
              </w:rPr>
              <m:t>u</m:t>
            </m:r>
          </m:sub>
        </m:sSub>
      </m:oMath>
      <w:r w:rsidRPr="00EA1350">
        <w:rPr>
          <w:rStyle w:val="alt-edited"/>
          <w:rFonts w:asciiTheme="majorBidi" w:eastAsiaTheme="minorEastAsia" w:hAnsiTheme="majorBidi" w:cstheme="majorBidi"/>
          <w:lang w:val="en"/>
        </w:rPr>
        <w:t xml:space="preserve">, and </w:t>
      </w:r>
      <m:oMath>
        <m:r>
          <w:rPr>
            <w:rStyle w:val="alt-edited"/>
            <w:rFonts w:ascii="Cambria Math" w:hAnsi="Cambria Math" w:cstheme="majorBidi"/>
            <w:lang w:val="en"/>
          </w:rPr>
          <m:t>N</m:t>
        </m:r>
      </m:oMath>
      <w:r w:rsidRPr="00EA1350">
        <w:rPr>
          <w:rStyle w:val="alt-edited"/>
          <w:rFonts w:asciiTheme="majorBidi" w:eastAsiaTheme="minorEastAsia" w:hAnsiTheme="majorBidi" w:cstheme="majorBidi"/>
          <w:lang w:val="en"/>
        </w:rPr>
        <w:t xml:space="preserve"> refers to the count of all data instances. Adopting the same principles as FCM, a membership degree matrix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Bidi"/>
              </w:rPr>
              <m:t>U</m:t>
            </m:r>
            <m:r>
              <w:rPr>
                <w:rFonts w:ascii="Cambria Math" w:hAnsi="Cambria Math" w:cstheme="majorBidi"/>
              </w:rPr>
              <m:t>=</m:t>
            </m:r>
            <m:d>
              <m:dPr>
                <m:begChr m:val="["/>
                <m:endChr m:val="]"/>
                <m:ctrlPr>
                  <w:rPr>
                    <w:rFonts w:ascii="Cambria Math" w:hAnsi="Cambria Math" w:cstheme="majorBidi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nk</m:t>
                    </m:r>
                  </m:sub>
                </m:sSub>
              </m:e>
            </m:d>
          </m:e>
          <m:sub>
            <m:r>
              <w:rPr>
                <w:rFonts w:ascii="Cambria Math" w:hAnsi="Cambria Math" w:cstheme="majorBidi"/>
              </w:rPr>
              <m:t>K×N</m:t>
            </m:r>
          </m:sub>
        </m:sSub>
      </m:oMath>
      <w:r w:rsidRPr="00EA1350">
        <w:rPr>
          <w:rFonts w:asciiTheme="majorBidi" w:hAnsiTheme="majorBidi" w:cstheme="majorBidi"/>
        </w:rPr>
        <w:t xml:space="preserve"> </w:t>
      </w:r>
      <w:r w:rsidRPr="00EA1350">
        <w:rPr>
          <w:rStyle w:val="alt-edited"/>
          <w:rFonts w:asciiTheme="majorBidi" w:eastAsiaTheme="minorEastAsia" w:hAnsiTheme="majorBidi" w:cstheme="majorBidi"/>
          <w:lang w:val="en"/>
        </w:rPr>
        <w:t xml:space="preserve"> is considered, which indicates the membership degree of the </w:t>
      </w:r>
      <m:oMath>
        <m:r>
          <w:rPr>
            <w:rFonts w:ascii="Cambria Math" w:hAnsi="Cambria Math" w:cstheme="majorBidi"/>
          </w:rPr>
          <m:t>n</m:t>
        </m:r>
      </m:oMath>
      <w:proofErr w:type="gramStart"/>
      <w:r w:rsidRPr="00EA1350">
        <w:rPr>
          <w:rFonts w:asciiTheme="majorBidi" w:eastAsiaTheme="minorEastAsia" w:hAnsiTheme="majorBidi" w:cstheme="majorBidi"/>
        </w:rPr>
        <w:t>th</w:t>
      </w:r>
      <w:proofErr w:type="gramEnd"/>
      <w:r w:rsidRPr="00EA1350">
        <w:rPr>
          <w:rFonts w:asciiTheme="majorBidi" w:eastAsiaTheme="minorEastAsia" w:hAnsiTheme="majorBidi" w:cstheme="majorBidi"/>
        </w:rPr>
        <w:t xml:space="preserve"> sample to the </w:t>
      </w:r>
      <m:oMath>
        <m:r>
          <w:rPr>
            <w:rFonts w:ascii="Cambria Math" w:eastAsiaTheme="minorEastAsia" w:hAnsi="Cambria Math" w:cstheme="majorBidi"/>
          </w:rPr>
          <m:t>k</m:t>
        </m:r>
      </m:oMath>
      <w:r w:rsidRPr="00EA1350">
        <w:rPr>
          <w:rFonts w:asciiTheme="majorBidi" w:eastAsiaTheme="minorEastAsia" w:hAnsiTheme="majorBidi" w:cstheme="majorBidi"/>
        </w:rPr>
        <w:t>th cluster, and obeys the same membership constrain</w:t>
      </w:r>
      <w:proofErr w:type="spellStart"/>
      <w:r w:rsidRPr="00EA1350">
        <w:rPr>
          <w:rFonts w:asciiTheme="majorBidi" w:eastAsiaTheme="minorEastAsia" w:hAnsiTheme="majorBidi" w:cstheme="majorBidi"/>
        </w:rPr>
        <w:t>ts</w:t>
      </w:r>
      <w:proofErr w:type="spellEnd"/>
      <w:r w:rsidRPr="00EA1350">
        <w:rPr>
          <w:rFonts w:asciiTheme="majorBidi" w:eastAsiaTheme="minorEastAsia" w:hAnsiTheme="majorBidi" w:cstheme="majorBidi"/>
        </w:rPr>
        <w:t xml:space="preserve"> as FCM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nk</m:t>
            </m:r>
          </m:sub>
        </m:sSub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0 , 1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   </m:t>
        </m:r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nk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>=1</m:t>
        </m:r>
      </m:oMath>
      <w:r w:rsidRPr="00EA1350">
        <w:rPr>
          <w:rFonts w:asciiTheme="majorBidi" w:eastAsiaTheme="minorEastAsia" w:hAnsiTheme="majorBidi" w:cstheme="majorBidi"/>
        </w:rPr>
        <w:t xml:space="preserve">). Accordingly, the </w:t>
      </w:r>
      <w:r w:rsidRPr="00EA1350">
        <w:rPr>
          <w:rStyle w:val="alt-edited"/>
          <w:rFonts w:asciiTheme="majorBidi" w:hAnsiTheme="majorBidi" w:cstheme="majorBidi"/>
          <w:lang w:val="en"/>
        </w:rPr>
        <w:t>objective function of the SSFCM approach is defined as: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42"/>
        <w:gridCol w:w="618"/>
      </w:tblGrid>
      <w:tr w:rsidR="00EA1350" w:rsidRPr="00EA1350" w:rsidTr="00F82EA0">
        <w:tc>
          <w:tcPr>
            <w:tcW w:w="4670" w:type="pct"/>
            <w:vAlign w:val="center"/>
          </w:tcPr>
          <w:p w:rsidR="00EA1350" w:rsidRPr="00EA1350" w:rsidRDefault="00EA1350" w:rsidP="00F82EA0">
            <w:pPr>
              <w:spacing w:line="360" w:lineRule="auto"/>
              <w:ind w:firstLine="0"/>
              <w:jc w:val="left"/>
              <w:rPr>
                <w:rFonts w:ascii="Times New Roman" w:eastAsiaTheme="minorEastAsia" w:hAnsi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SSFCM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nk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nk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p>
                        </m:sSubSup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>+α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(u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-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nk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p>
                        </m:sSubSup>
                      </m:e>
                    </m:nary>
                  </m:e>
                </m:nary>
              </m:oMath>
            </m:oMathPara>
          </w:p>
          <w:p w:rsidR="00EA1350" w:rsidRPr="00EA1350" w:rsidRDefault="00EA1350" w:rsidP="00F82EA0">
            <w:pPr>
              <w:spacing w:line="360" w:lineRule="auto"/>
              <w:ind w:firstLine="0"/>
              <w:jc w:val="left"/>
              <w:rPr>
                <w:rFonts w:ascii="Times New Roman" w:eastAsiaTheme="minorEastAsia" w:hAnsi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0, 1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 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nk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=1,  where    1≤</m:t>
                </m:r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and 1≤</m:t>
                </m:r>
                <m:r>
                  <w:rPr>
                    <w:rFonts w:ascii="Cambria Math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330" w:type="pct"/>
            <w:vAlign w:val="center"/>
          </w:tcPr>
          <w:p w:rsidR="00EA1350" w:rsidRPr="00EA1350" w:rsidRDefault="00EA1350" w:rsidP="00F82EA0">
            <w:pPr>
              <w:spacing w:line="360" w:lineRule="auto"/>
              <w:ind w:firstLine="7"/>
              <w:jc w:val="right"/>
              <w:rPr>
                <w:rFonts w:ascii="Times New Roman" w:hAnsi="Times New Roman"/>
              </w:rPr>
            </w:pPr>
            <w:r w:rsidRPr="00EA1350">
              <w:rPr>
                <w:rFonts w:ascii="Times New Roman" w:hAnsi="Times New Roman"/>
              </w:rPr>
              <w:t>(1)</w:t>
            </w:r>
          </w:p>
        </w:tc>
      </w:tr>
    </w:tbl>
    <w:p w:rsidR="00EA1350" w:rsidRPr="00EA1350" w:rsidRDefault="00EA1350" w:rsidP="00EA1350">
      <w:pPr>
        <w:spacing w:line="360" w:lineRule="auto"/>
        <w:ind w:firstLine="270"/>
        <w:rPr>
          <w:rFonts w:asciiTheme="majorBidi" w:eastAsiaTheme="minorEastAsia" w:hAnsiTheme="majorBidi" w:cstheme="majorBidi"/>
        </w:rPr>
      </w:pPr>
      <w:r w:rsidRPr="00EA1350">
        <w:rPr>
          <w:rFonts w:asciiTheme="majorBidi" w:hAnsiTheme="majorBidi" w:cstheme="majorBidi"/>
        </w:rPr>
        <w:t xml:space="preserve">In Eq. (1), the second term represents the prior supervised knowledge, in which,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=[b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]</m:t>
        </m:r>
      </m:oMath>
      <w:r w:rsidRPr="00EA1350">
        <w:rPr>
          <w:rFonts w:asciiTheme="majorBidi" w:eastAsiaTheme="minorEastAsia" w:hAnsiTheme="majorBidi" w:cstheme="majorBidi"/>
        </w:rPr>
        <w:t xml:space="preserve"> is an </w:t>
      </w:r>
      <m:oMath>
        <m:r>
          <w:rPr>
            <w:rFonts w:ascii="Cambria Math" w:eastAsiaTheme="minorEastAsia" w:hAnsi="Cambria Math" w:cstheme="majorBidi"/>
          </w:rPr>
          <m:t>N</m:t>
        </m:r>
      </m:oMath>
      <w:r w:rsidRPr="00EA1350">
        <w:rPr>
          <w:rFonts w:asciiTheme="majorBidi" w:eastAsiaTheme="minorEastAsia" w:hAnsiTheme="majorBidi" w:cstheme="majorBidi"/>
        </w:rPr>
        <w:t xml:space="preserve">-dimensional label indicator vector, with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  <w:lang w:bidi="fa-IR"/>
          </w:rPr>
          <m:t>=1</m:t>
        </m:r>
      </m:oMath>
      <w:r w:rsidRPr="00EA1350">
        <w:rPr>
          <w:rFonts w:asciiTheme="majorBidi" w:eastAsiaTheme="minorEastAsia" w:hAnsiTheme="majorBidi" w:cstheme="majorBidi"/>
          <w:lang w:bidi="fa-IR"/>
        </w:rPr>
        <w:t xml:space="preserve"> for labeled samples, and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  <w:lang w:bidi="fa-IR"/>
          </w:rPr>
          <m:t>=0</m:t>
        </m:r>
      </m:oMath>
      <w:r w:rsidRPr="00EA1350">
        <w:rPr>
          <w:rFonts w:asciiTheme="majorBidi" w:eastAsiaTheme="minorEastAsia" w:hAnsiTheme="majorBidi" w:cstheme="majorBidi"/>
          <w:lang w:bidi="fa-IR"/>
        </w:rPr>
        <w:t xml:space="preserve"> for unlabeled samples.</w:t>
      </w:r>
      <w:r w:rsidRPr="00EA1350">
        <w:rPr>
          <w:rFonts w:asciiTheme="majorBidi" w:eastAsiaTheme="minorEastAsia" w:hAnsiTheme="majorBidi" w:cstheme="majorBidi"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r>
              <w:rPr>
                <w:rFonts w:ascii="Cambria Math" w:hAnsi="Cambria Math" w:cstheme="majorBidi"/>
              </w:rPr>
              <m:t>=[f</m:t>
            </m:r>
          </m:e>
          <m:sub>
            <m:r>
              <w:rPr>
                <w:rFonts w:ascii="Cambria Math" w:hAnsi="Cambria Math" w:cstheme="majorBidi"/>
              </w:rPr>
              <m:t>nk</m:t>
            </m:r>
          </m:sub>
        </m:sSub>
        <m:r>
          <w:rPr>
            <w:rFonts w:ascii="Cambria Math" w:hAnsi="Cambria Math" w:cstheme="majorBidi"/>
          </w:rPr>
          <m:t>]</m:t>
        </m:r>
      </m:oMath>
      <w:r w:rsidRPr="00EA1350">
        <w:rPr>
          <w:rFonts w:asciiTheme="majorBidi" w:eastAsiaTheme="minorEastAsia" w:hAnsiTheme="majorBidi" w:cstheme="majorBidi"/>
        </w:rPr>
        <w:t xml:space="preserve"> </w:t>
      </w:r>
      <w:proofErr w:type="gramStart"/>
      <w:r w:rsidRPr="00EA1350">
        <w:rPr>
          <w:rFonts w:asciiTheme="majorBidi" w:eastAsiaTheme="minorEastAsia" w:hAnsiTheme="majorBidi" w:cstheme="majorBidi"/>
        </w:rPr>
        <w:t>c</w:t>
      </w:r>
      <w:proofErr w:type="spellStart"/>
      <w:r w:rsidRPr="00EA1350">
        <w:rPr>
          <w:rFonts w:asciiTheme="majorBidi" w:eastAsiaTheme="minorEastAsia" w:hAnsiTheme="majorBidi" w:cstheme="majorBidi"/>
        </w:rPr>
        <w:t>orresponds</w:t>
      </w:r>
      <w:proofErr w:type="spellEnd"/>
      <w:proofErr w:type="gramEnd"/>
      <w:r w:rsidRPr="00EA1350">
        <w:rPr>
          <w:rFonts w:asciiTheme="majorBidi" w:eastAsiaTheme="minorEastAsia" w:hAnsiTheme="majorBidi" w:cstheme="majorBidi"/>
        </w:rPr>
        <w:t xml:space="preserve"> to the fuzzy degrees of the labeled samples in which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f</m:t>
            </m:r>
          </m:e>
          <m:sub>
            <m:r>
              <w:rPr>
                <w:rFonts w:ascii="Cambria Math" w:hAnsi="Cambria Math" w:cstheme="majorBidi"/>
              </w:rPr>
              <m:t>nk</m:t>
            </m:r>
          </m:sub>
        </m:sSub>
        <m:r>
          <w:rPr>
            <w:rFonts w:ascii="Cambria Math" w:hAnsi="Cambria Math" w:cstheme="majorBidi"/>
          </w:rPr>
          <m:t>=1</m:t>
        </m:r>
      </m:oMath>
      <w:r w:rsidRPr="00EA1350">
        <w:rPr>
          <w:rFonts w:asciiTheme="majorBidi" w:eastAsiaTheme="minorEastAsia" w:hAnsiTheme="majorBidi" w:cstheme="majorBidi"/>
        </w:rPr>
        <w:t xml:space="preserve"> i</w:t>
      </w:r>
      <w:bookmarkStart w:id="0" w:name="_GoBack"/>
      <w:bookmarkEnd w:id="0"/>
      <w:r w:rsidRPr="00EA1350">
        <w:rPr>
          <w:rFonts w:asciiTheme="majorBidi" w:eastAsiaTheme="minorEastAsia" w:hAnsiTheme="majorBidi" w:cstheme="majorBidi"/>
        </w:rPr>
        <w:t xml:space="preserve">f sample </w:t>
      </w:r>
      <m:oMath>
        <m:r>
          <w:rPr>
            <w:rFonts w:ascii="Cambria Math" w:eastAsiaTheme="minorEastAsia" w:hAnsi="Cambria Math" w:cstheme="majorBidi"/>
          </w:rPr>
          <m:t>n</m:t>
        </m:r>
      </m:oMath>
      <w:r w:rsidRPr="00EA1350">
        <w:rPr>
          <w:rFonts w:asciiTheme="majorBidi" w:eastAsiaTheme="minorEastAsia" w:hAnsiTheme="majorBidi" w:cstheme="majorBidi"/>
        </w:rPr>
        <w:t xml:space="preserve"> belongs to the class </w:t>
      </w:r>
      <m:oMath>
        <m:r>
          <w:rPr>
            <w:rFonts w:ascii="Cambria Math" w:hAnsi="Cambria Math" w:cstheme="majorBidi"/>
          </w:rPr>
          <m:t>k</m:t>
        </m:r>
      </m:oMath>
      <w:r w:rsidRPr="00EA1350">
        <w:rPr>
          <w:rFonts w:asciiTheme="majorBidi" w:eastAsiaTheme="minorEastAsia" w:hAnsiTheme="majorBidi" w:cstheme="majorBidi"/>
        </w:rPr>
        <w:t xml:space="preserve">, and 0 otherwise. Finally, </w:t>
      </w:r>
      <m:oMath>
        <m:r>
          <w:rPr>
            <w:rFonts w:ascii="Cambria Math" w:hAnsi="Cambria Math" w:cstheme="majorBidi"/>
          </w:rPr>
          <m:t>α≥0</m:t>
        </m:r>
      </m:oMath>
      <w:r w:rsidRPr="00EA1350">
        <w:rPr>
          <w:rFonts w:asciiTheme="majorBidi" w:eastAsiaTheme="minorEastAsia" w:hAnsiTheme="majorBidi" w:cstheme="majorBidi"/>
        </w:rPr>
        <w:t xml:space="preserve"> is the regularization </w:t>
      </w:r>
      <w:proofErr w:type="gramStart"/>
      <w:r w:rsidRPr="00EA1350">
        <w:rPr>
          <w:rFonts w:asciiTheme="majorBidi" w:eastAsiaTheme="minorEastAsia" w:hAnsiTheme="majorBidi" w:cstheme="majorBidi"/>
        </w:rPr>
        <w:t>parameter.</w:t>
      </w:r>
      <w:proofErr w:type="gramEnd"/>
    </w:p>
    <w:p w:rsidR="00EA1350" w:rsidRPr="00EA1350" w:rsidRDefault="00EA1350" w:rsidP="00EA1350">
      <w:pPr>
        <w:spacing w:line="360" w:lineRule="auto"/>
        <w:ind w:firstLine="270"/>
        <w:rPr>
          <w:rFonts w:asciiTheme="majorBidi" w:eastAsiaTheme="minorEastAsia" w:hAnsiTheme="majorBidi" w:cstheme="majorBidi"/>
        </w:rPr>
      </w:pPr>
      <w:r w:rsidRPr="00EA1350">
        <w:rPr>
          <w:rFonts w:asciiTheme="majorBidi" w:hAnsiTheme="majorBidi" w:cstheme="majorBidi"/>
        </w:rPr>
        <w:t xml:space="preserve">Adopting the Lagrange multipliers approach, the membership degree of sample </w:t>
      </w:r>
      <m:oMath>
        <m:r>
          <w:rPr>
            <w:rFonts w:ascii="Cambria Math" w:hAnsi="Cambria Math" w:cstheme="majorBidi"/>
          </w:rPr>
          <m:t>n</m:t>
        </m:r>
      </m:oMath>
      <w:r w:rsidRPr="00EA1350">
        <w:rPr>
          <w:rFonts w:asciiTheme="majorBidi" w:eastAsiaTheme="minorEastAsia" w:hAnsiTheme="majorBidi" w:cstheme="majorBidi"/>
        </w:rPr>
        <w:t xml:space="preserve"> in cluster </w:t>
      </w:r>
      <m:oMath>
        <m:r>
          <w:rPr>
            <w:rFonts w:ascii="Cambria Math" w:eastAsiaTheme="minorEastAsia" w:hAnsi="Cambria Math" w:cstheme="majorBidi"/>
          </w:rPr>
          <m:t>k</m:t>
        </m:r>
      </m:oMath>
      <w:r w:rsidRPr="00EA1350">
        <w:rPr>
          <w:rFonts w:asciiTheme="majorBidi" w:eastAsiaTheme="minorEastAsia" w:hAnsiTheme="majorBidi" w:cstheme="majorBidi"/>
        </w:rPr>
        <w:t xml:space="preserve">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nk</m:t>
            </m:r>
          </m:sub>
        </m:sSub>
      </m:oMath>
      <w:r w:rsidRPr="00EA1350">
        <w:rPr>
          <w:rFonts w:asciiTheme="majorBidi" w:eastAsiaTheme="minorEastAsia" w:hAnsiTheme="majorBidi" w:cstheme="majorBidi"/>
        </w:rPr>
        <w:t xml:space="preserve">) is computed as follows. 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1"/>
        <w:gridCol w:w="899"/>
      </w:tblGrid>
      <w:tr w:rsidR="00EA1350" w:rsidRPr="00EA1350" w:rsidTr="00F82EA0">
        <w:trPr>
          <w:jc w:val="center"/>
        </w:trPr>
        <w:tc>
          <w:tcPr>
            <w:tcW w:w="4520" w:type="pct"/>
            <w:vAlign w:val="center"/>
          </w:tcPr>
          <w:p w:rsidR="00EA1350" w:rsidRPr="00EA1350" w:rsidRDefault="00EA1350" w:rsidP="00F82EA0">
            <w:pPr>
              <w:spacing w:line="360" w:lineRule="auto"/>
              <w:ind w:firstLine="0"/>
              <w:jc w:val="left"/>
              <w:rPr>
                <w:rFonts w:asciiTheme="majorBidi" w:eastAsiaTheme="minorEastAsia" w:hAnsiTheme="majorBidi" w:cstheme="majorBid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1+α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1+α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h=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nh</m:t>
                                    </m:r>
                                  </m:sub>
                                </m:sSub>
                              </m:e>
                            </m:nary>
                          </m:e>
                        </m:d>
                      </m:num>
                      <m:den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h=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p>
                          <m:e>
                            <m:f>
                              <m:fPr>
                                <m:type m:val="lin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nk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up>
                                </m:sSubSup>
                              </m:num>
                              <m:den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nh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up>
                                </m:sSubSup>
                              </m:den>
                            </m:f>
                          </m:e>
                        </m:nary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, </m:t>
                </m:r>
              </m:oMath>
            </m:oMathPara>
          </w:p>
          <w:p w:rsidR="00EA1350" w:rsidRPr="00EA1350" w:rsidRDefault="00EA1350" w:rsidP="00F82EA0">
            <w:pPr>
              <w:spacing w:line="360" w:lineRule="auto"/>
              <w:ind w:firstLine="0"/>
              <w:jc w:val="left"/>
              <w:rPr>
                <w:rFonts w:asciiTheme="majorBidi" w:hAnsiTheme="majorBidi" w:cstheme="majorBid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 xml:space="preserve">∀n=1,…,N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and</m:t>
                </m:r>
                <m:r>
                  <w:rPr>
                    <w:rFonts w:ascii="Cambria Math" w:eastAsiaTheme="minorEastAsia" w:hAnsi="Cambria Math"/>
                  </w:rPr>
                  <m:t xml:space="preserve"> ∀k=1,…,K</m:t>
                </m:r>
              </m:oMath>
            </m:oMathPara>
          </w:p>
        </w:tc>
        <w:tc>
          <w:tcPr>
            <w:tcW w:w="480" w:type="pct"/>
            <w:vAlign w:val="center"/>
          </w:tcPr>
          <w:p w:rsidR="00EA1350" w:rsidRPr="00EA1350" w:rsidRDefault="00EA1350" w:rsidP="00F82EA0">
            <w:pPr>
              <w:spacing w:line="360" w:lineRule="auto"/>
              <w:ind w:firstLine="7"/>
              <w:jc w:val="right"/>
              <w:rPr>
                <w:rFonts w:ascii="Times New Roman" w:hAnsi="Times New Roman"/>
              </w:rPr>
            </w:pPr>
            <w:r w:rsidRPr="00EA1350">
              <w:rPr>
                <w:rFonts w:ascii="Times New Roman" w:hAnsi="Times New Roman"/>
              </w:rPr>
              <w:t>(2)</w:t>
            </w:r>
          </w:p>
        </w:tc>
      </w:tr>
    </w:tbl>
    <w:p w:rsidR="00EA1350" w:rsidRPr="00EA1350" w:rsidRDefault="00EA1350" w:rsidP="00EA1350">
      <w:pPr>
        <w:spacing w:line="360" w:lineRule="auto"/>
        <w:ind w:firstLine="270"/>
        <w:rPr>
          <w:rFonts w:asciiTheme="majorBidi" w:eastAsiaTheme="minorEastAsia" w:hAnsiTheme="majorBidi" w:cstheme="majorBidi"/>
        </w:rPr>
      </w:pPr>
      <w:r w:rsidRPr="00EA1350">
        <w:rPr>
          <w:rFonts w:asciiTheme="majorBidi" w:hAnsiTheme="majorBidi" w:cstheme="majorBidi"/>
        </w:rPr>
        <w:t xml:space="preserve">For </w:t>
      </w:r>
      <w:proofErr w:type="gramStart"/>
      <w:r w:rsidRPr="00EA1350">
        <w:rPr>
          <w:rFonts w:asciiTheme="majorBidi" w:hAnsiTheme="majorBidi" w:cstheme="majorBidi"/>
        </w:rPr>
        <w:t xml:space="preserve">cluster </w:t>
      </w:r>
      <w:proofErr w:type="gramEnd"/>
      <m:oMath>
        <m:r>
          <w:rPr>
            <w:rFonts w:ascii="Cambria Math" w:hAnsi="Cambria Math" w:cstheme="majorBidi"/>
          </w:rPr>
          <m:t>k</m:t>
        </m:r>
      </m:oMath>
      <w:r w:rsidRPr="00EA1350">
        <w:rPr>
          <w:rFonts w:asciiTheme="majorBidi" w:eastAsiaTheme="minorEastAsia" w:hAnsiTheme="majorBidi" w:cstheme="majorBidi"/>
        </w:rPr>
        <w:t xml:space="preserve">, the cluster center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EA1350">
        <w:rPr>
          <w:rFonts w:asciiTheme="majorBidi" w:eastAsiaTheme="minorEastAsia" w:hAnsiTheme="majorBidi" w:cstheme="majorBidi"/>
        </w:rPr>
        <w:t xml:space="preserve"> is computed according to Eq. (3).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42"/>
        <w:gridCol w:w="618"/>
      </w:tblGrid>
      <w:tr w:rsidR="00EA1350" w:rsidRPr="00EA1350" w:rsidTr="00F82EA0">
        <w:tc>
          <w:tcPr>
            <w:tcW w:w="4670" w:type="pct"/>
            <w:vAlign w:val="center"/>
          </w:tcPr>
          <w:p w:rsidR="00EA1350" w:rsidRPr="00EA1350" w:rsidRDefault="00EA1350" w:rsidP="00F82EA0">
            <w:pPr>
              <w:spacing w:line="360" w:lineRule="auto"/>
              <w:ind w:firstLine="0"/>
              <w:jc w:val="left"/>
              <w:rPr>
                <w:rFonts w:ascii="Times New Roman" w:eastAsiaTheme="minorEastAsia" w:hAnsi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</w:rPr>
                      <m:t>+α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(u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-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nary>
                    <m:r>
                      <w:rPr>
                        <w:rFonts w:ascii="Cambria Math" w:hAnsi="Cambria Math"/>
                      </w:rPr>
                      <m:t>+α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(u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-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den>
                </m:f>
                <m:r>
                  <w:rPr>
                    <w:rFonts w:ascii="Cambria Math" w:hAnsi="Cambria Math"/>
                  </w:rPr>
                  <m:t xml:space="preserve">,  </m:t>
                </m:r>
                <m:r>
                  <w:rPr>
                    <w:rFonts w:ascii="Cambria Math" w:eastAsiaTheme="minorEastAsia" w:hAnsi="Cambria Math"/>
                  </w:rPr>
                  <m:t>∀k=1,…,K</m:t>
                </m:r>
                <m:r>
                  <w:rPr>
                    <w:rFonts w:ascii="Cambria Math" w:hAnsi="Cambria Math"/>
                  </w:rPr>
                  <m:t xml:space="preserve">  </m:t>
                </m:r>
              </m:oMath>
            </m:oMathPara>
          </w:p>
        </w:tc>
        <w:tc>
          <w:tcPr>
            <w:tcW w:w="330" w:type="pct"/>
            <w:vAlign w:val="center"/>
          </w:tcPr>
          <w:p w:rsidR="00EA1350" w:rsidRPr="00EA1350" w:rsidRDefault="00EA1350" w:rsidP="00F82EA0">
            <w:pPr>
              <w:spacing w:line="360" w:lineRule="auto"/>
              <w:ind w:firstLine="7"/>
              <w:jc w:val="right"/>
              <w:rPr>
                <w:rFonts w:ascii="Times New Roman" w:hAnsi="Times New Roman"/>
              </w:rPr>
            </w:pPr>
            <w:r w:rsidRPr="00EA1350">
              <w:rPr>
                <w:rFonts w:ascii="Times New Roman" w:hAnsi="Times New Roman"/>
              </w:rPr>
              <w:t>(3)</w:t>
            </w:r>
          </w:p>
        </w:tc>
      </w:tr>
    </w:tbl>
    <w:p w:rsidR="008B4671" w:rsidRPr="00EA1350" w:rsidRDefault="00EA1350"/>
    <w:sectPr w:rsidR="008B4671" w:rsidRPr="00EA1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C32"/>
    <w:rsid w:val="006C2C32"/>
    <w:rsid w:val="00A46D5B"/>
    <w:rsid w:val="00DC189E"/>
    <w:rsid w:val="00EA1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8FC422-3532-4C40-AFE2-C55904B8A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1350"/>
    <w:pPr>
      <w:spacing w:after="0" w:line="240" w:lineRule="auto"/>
      <w:ind w:firstLine="227"/>
      <w:jc w:val="both"/>
    </w:pPr>
    <w:rPr>
      <w:rFonts w:ascii="Times" w:eastAsia="Times New Roman" w:hAnsi="Times" w:cs="Times New Roman"/>
      <w:sz w:val="20"/>
      <w:szCs w:val="20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1350"/>
    <w:pPr>
      <w:spacing w:after="0" w:line="240" w:lineRule="auto"/>
    </w:pPr>
    <w:rPr>
      <w:rFonts w:ascii="Times" w:eastAsia="Times New Roman" w:hAnsi="Times" w:cs="Times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lt-edited">
    <w:name w:val="alt-edited"/>
    <w:basedOn w:val="DefaultParagraphFont"/>
    <w:rsid w:val="00EA13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golzari</dc:creator>
  <cp:keywords/>
  <dc:description/>
  <cp:lastModifiedBy>amin golzari</cp:lastModifiedBy>
  <cp:revision>2</cp:revision>
  <dcterms:created xsi:type="dcterms:W3CDTF">2024-07-07T14:52:00Z</dcterms:created>
  <dcterms:modified xsi:type="dcterms:W3CDTF">2024-07-07T14:52:00Z</dcterms:modified>
</cp:coreProperties>
</file>