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11C6" w14:textId="77777777" w:rsidR="00876A9D" w:rsidRPr="00ED4570" w:rsidRDefault="00876A9D" w:rsidP="00876A9D">
      <w:pPr>
        <w:pStyle w:val="Subsectionheading"/>
        <w:numPr>
          <w:ilvl w:val="0"/>
          <w:numId w:val="0"/>
        </w:numPr>
        <w:ind w:left="576" w:hanging="576"/>
      </w:pPr>
      <w:r>
        <w:t>S3FCM</w:t>
      </w:r>
      <w:r w:rsidRPr="00ED4570">
        <w:t xml:space="preserve"> </w:t>
      </w:r>
    </w:p>
    <w:p w14:paraId="231168BB" w14:textId="4D1C8959" w:rsidR="00876A9D" w:rsidRPr="00876A9D" w:rsidRDefault="00876A9D" w:rsidP="00876A9D">
      <w:pPr>
        <w:spacing w:after="0" w:line="360" w:lineRule="auto"/>
        <w:ind w:firstLine="227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  <w:r w:rsidRPr="00876A9D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Recently, semi-supervised clustering (SSC) has emerged as a valuable data mining tool for uncovering intrinsic data structures by leveraging prior knowledge.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Gener</w:t>
      </w:r>
      <w:r w:rsidRPr="00876A9D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ally, SSC posits that prior knowledge can enhance clustering performance. However, if erroneous information is used, such as incorrect labels, it may negatively impact performance. To tackle this issue, Gan proposed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safe-</w:t>
      </w:r>
      <w:r w:rsidRPr="00876A9D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semi-supervised fuzzy c-Means (S3FCM) clustering in 2019,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which is </w:t>
      </w:r>
      <w:r w:rsidRPr="00876A9D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extend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ed from</w:t>
      </w:r>
      <w:r w:rsidRPr="00876A9D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the traditional semi-supervised fuzzy c-Means (SSFCM). This algorithm analyzes the information from labeled samples through unsupervised methods to mitigate corresponding risks. Consequently, it formulates a regularization expression based on unsupervised outputs to enhance the accuracy of predictions regarding labeled data. Specifically, the algorithm first segments the dataset into k clusters utilizing the traditional fuzzy c-Means algorithm, disregarding the labels. Given that the cluster labels generated by FCM may not align with the provided labels, it employs a mapping algorithm to correlate predicted cluster labels with the actual labels. This process results in a permutation matrix reflecting the relationships between the given and predicted cluster labels.</w:t>
      </w:r>
    </w:p>
    <w:p w14:paraId="7248EDEB" w14:textId="09118632" w:rsidR="009E2784" w:rsidRDefault="00876A9D" w:rsidP="00876A9D">
      <w:pPr>
        <w:spacing w:after="0" w:line="360" w:lineRule="auto"/>
        <w:ind w:firstLine="227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  <w:r w:rsidRPr="00876A9D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The objective function of the S3FCM algorithm is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defin</w:t>
      </w:r>
      <w:r w:rsidRPr="00876A9D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ed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as</w:t>
      </w:r>
      <w:r w:rsidRPr="00876A9D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the following equation: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900"/>
      </w:tblGrid>
      <w:tr w:rsidR="00876A9D" w:rsidRPr="00EE5CF4" w14:paraId="3E7AB62E" w14:textId="77777777" w:rsidTr="00EE5CF4">
        <w:trPr>
          <w:trHeight w:val="1089"/>
        </w:trPr>
        <w:tc>
          <w:tcPr>
            <w:tcW w:w="8460" w:type="dxa"/>
          </w:tcPr>
          <w:p w14:paraId="7D32C805" w14:textId="2726E1CC" w:rsidR="00876A9D" w:rsidRPr="00EE5CF4" w:rsidRDefault="00EE5CF4" w:rsidP="00AC090F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U,</m:t>
                    </m:r>
                    <m:acc>
                      <m:accPr>
                        <m:ctrlPr>
                          <w:rPr>
                            <w:rFonts w:ascii="Cambria Math" w:hAnsi="Cambria Math" w:cs="B Nazanin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</w:rPr>
                          <m:t>U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,C</m:t>
                    </m:r>
                  </m:e>
                </m:d>
                <m:r>
                  <w:rPr>
                    <w:rFonts w:ascii="Cambria Math" w:hAnsi="Cambria Math" w:cs="B Nazani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  <w:p w14:paraId="7DDF44DE" w14:textId="6BFAF1AD" w:rsidR="00876A9D" w:rsidRPr="00EE5CF4" w:rsidRDefault="00876A9D" w:rsidP="00EE5CF4">
            <w:pPr>
              <w:pStyle w:val="ListParagraph"/>
              <w:ind w:left="0" w:firstLine="0"/>
              <w:jc w:val="left"/>
              <w:rPr>
                <w:rFonts w:ascii="Times New Roman" w:eastAsiaTheme="minorEastAsia" w:hAnsi="Times New Roman" w:cs="B Nazanin"/>
              </w:rPr>
            </w:pPr>
            <w:r w:rsidRPr="00EE5CF4">
              <w:rPr>
                <w:rFonts w:ascii="Times New Roman" w:eastAsiaTheme="minorEastAsia" w:hAnsi="Times New Roman" w:cs="B Nazanin"/>
              </w:rPr>
              <w:t xml:space="preserve">Subject to: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0≤ </m:t>
              </m:r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≤1,      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ajorBidi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nk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</w:rPr>
                <m:t>=1       where    1≤</m:t>
              </m:r>
              <m:r>
                <w:rPr>
                  <w:rFonts w:ascii="Cambria Math" w:hAnsi="Cambria Math" w:cstheme="majorBidi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≤</m:t>
              </m:r>
              <m:r>
                <w:rPr>
                  <w:rFonts w:ascii="Cambria Math" w:hAnsi="Cambria Math" w:cstheme="majorBidi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  and  1≤</m:t>
              </m:r>
              <m:r>
                <w:rPr>
                  <w:rFonts w:ascii="Cambria Math" w:hAnsi="Cambria Math" w:cstheme="majorBid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≤</m:t>
              </m:r>
              <m:r>
                <w:rPr>
                  <w:rFonts w:ascii="Cambria Math" w:hAnsi="Cambria Math" w:cstheme="majorBid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;</m:t>
              </m:r>
            </m:oMath>
          </w:p>
        </w:tc>
        <w:tc>
          <w:tcPr>
            <w:tcW w:w="900" w:type="dxa"/>
            <w:vAlign w:val="center"/>
          </w:tcPr>
          <w:p w14:paraId="7961F82C" w14:textId="75FD3923" w:rsidR="00876A9D" w:rsidRPr="00EE5CF4" w:rsidRDefault="00876A9D" w:rsidP="00AC090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EE5CF4">
              <w:rPr>
                <w:rFonts w:ascii="Times New Roman" w:hAnsi="Times New Roman"/>
              </w:rPr>
              <w:t>(</w:t>
            </w:r>
            <w:r w:rsidR="00EE5CF4">
              <w:rPr>
                <w:rFonts w:ascii="Times New Roman" w:hAnsi="Times New Roman"/>
              </w:rPr>
              <w:t>1</w:t>
            </w:r>
            <w:r w:rsidRPr="00EE5CF4">
              <w:rPr>
                <w:rFonts w:ascii="Times New Roman" w:hAnsi="Times New Roman"/>
              </w:rPr>
              <w:t>)</w:t>
            </w:r>
          </w:p>
        </w:tc>
      </w:tr>
    </w:tbl>
    <w:p w14:paraId="6DF8CF3A" w14:textId="055B24AE" w:rsidR="00876A9D" w:rsidRDefault="0043378E" w:rsidP="0043378E">
      <w:pPr>
        <w:spacing w:after="0" w:line="360" w:lineRule="auto"/>
        <w:ind w:firstLine="227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In Eq. (1), </w:t>
      </w:r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the concluding term denotes the unsupervised output-based regularizer, where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represent the regularization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parameters</w:t>
      </w:r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. The terminal two components impose constraints on the predictions of SSC relative to the specified labels and the labels derived from FCM, respectively [</w:t>
      </w:r>
      <w:r w:rsidR="001E6887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H. Gan, 2019</w:t>
      </w:r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]. The matri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ces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U=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nk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K×N</m:t>
            </m:r>
          </m:sub>
        </m:sSub>
      </m:oMath>
      <w:r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and </w:t>
      </w:r>
      <m:oMath>
        <m:acc>
          <m:accPr>
            <m:ctrlPr>
              <w:rPr>
                <w:rFonts w:ascii="Cambria Math" w:hAnsi="Cambria Math" w:cs="B Nazanin"/>
                <w:b/>
                <w:bCs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 Nazanin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B Nazani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B Nazanin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B Nazanin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B Nazanin"/>
                        <w:sz w:val="20"/>
                        <w:szCs w:val="20"/>
                      </w:rPr>
                      <m:t>nk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K×N</m:t>
            </m:r>
          </m:sub>
        </m:sSub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serve as partition matrix,</w:t>
      </w:r>
      <w:r w:rsidR="00B62B97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="00B62B97" w:rsidRPr="000E35F2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in which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" w:eastAsia="de-DE"/>
                <w14:ligatures w14:val="none"/>
              </w:rPr>
              <m:t>nk</m:t>
            </m:r>
          </m:sub>
        </m:sSub>
      </m:oMath>
      <w:r w:rsidR="00B62B97" w:rsidRPr="000E35F2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represents the fuzzy membership degree of sample </w:t>
      </w:r>
      <m:oMath>
        <m:r>
          <w:rPr>
            <w:rFonts w:ascii="Cambria Math" w:eastAsia="Times New Roman" w:hAnsi="Cambria Math" w:cs="Times New Roman"/>
            <w:kern w:val="0"/>
            <w:sz w:val="20"/>
            <w:szCs w:val="20"/>
            <w:lang w:val="en" w:eastAsia="de-DE"/>
            <w14:ligatures w14:val="none"/>
          </w:rPr>
          <m:t>n</m:t>
        </m:r>
      </m:oMath>
      <w:r w:rsidR="00B62B97" w:rsidRPr="000E35F2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to cluster </w:t>
      </w:r>
      <m:oMath>
        <m:r>
          <w:rPr>
            <w:rFonts w:ascii="Cambria Math" w:eastAsia="Times New Roman" w:hAnsi="Cambria Math" w:cs="Times New Roman"/>
            <w:kern w:val="0"/>
            <w:sz w:val="20"/>
            <w:szCs w:val="20"/>
            <w:lang w:val="en" w:eastAsia="de-DE"/>
            <w14:ligatures w14:val="none"/>
          </w:rPr>
          <m:t>k</m:t>
        </m:r>
      </m:oMath>
      <w:r w:rsidR="00B62B97" w:rsidRPr="000E35F2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>,</w:t>
      </w:r>
      <w:r w:rsidR="00B62B97">
        <w:rPr>
          <w:rFonts w:ascii="Times New Roman" w:eastAsia="Times New Roman" w:hAnsi="Times New Roman" w:cs="Times New Roman"/>
          <w:kern w:val="0"/>
          <w:sz w:val="20"/>
          <w:szCs w:val="20"/>
          <w:lang w:val="en" w:eastAsia="de-DE"/>
          <w14:ligatures w14:val="none"/>
        </w:rPr>
        <w:t xml:space="preserve"> and </w:t>
      </w:r>
      <m:oMath>
        <m:sSub>
          <m:sSubPr>
            <m:ctrlPr>
              <w:rPr>
                <w:rFonts w:ascii="Cambria Math" w:hAnsi="Cambria Math" w:cs="B Nazanin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="B Nazanin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</w:rPr>
              <m:t>nk</m:t>
            </m:r>
          </m:sub>
        </m:sSub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elucidating the corresponding associations between the predicted labels and the provided labels. </w:t>
      </w:r>
      <m:oMath>
        <m:r>
          <m:rPr>
            <m:sty m:val="bi"/>
          </m:rPr>
          <w:rPr>
            <w:rFonts w:ascii="Cambria Math" w:hAnsi="Cambria Math" w:cs="B Nazanin"/>
            <w:szCs w:val="24"/>
          </w:rPr>
          <m:t>B</m:t>
        </m:r>
        <m:r>
          <m:rPr>
            <m:sty m:val="p"/>
          </m:rPr>
          <w:rPr>
            <w:rFonts w:ascii="Cambria Math" w:hAnsi="Cambria Math" w:cs="B Nazani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Cs w:val="24"/>
                  </w:rPr>
                </m:ctrlPr>
              </m:sSubPr>
              <m:e>
                <m:r>
                  <w:rPr>
                    <w:rFonts w:ascii="Cambria Math" w:hAnsi="Cambria Math" w:cs="B Nazanin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B Nazanin"/>
                    <w:szCs w:val="24"/>
                  </w:rPr>
                  <m:t>n</m:t>
                </m:r>
              </m:sub>
            </m:sSub>
          </m:e>
        </m:d>
      </m:oMath>
      <w:r w:rsidR="00950742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is a label-indicating vector of length </w:t>
      </w:r>
      <m:oMath>
        <m:r>
          <w:rPr>
            <w:rFonts w:ascii="Cambria Math" w:hAnsi="Cambria Math" w:cs="B Nazanin"/>
            <w:szCs w:val="24"/>
          </w:rPr>
          <m:t>N</m:t>
        </m:r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, wherein </w:t>
      </w:r>
      <m:oMath>
        <m:sSub>
          <m:sSubPr>
            <m:ctrlPr>
              <w:rPr>
                <w:rFonts w:ascii="Cambria Math" w:hAnsi="Cambria Math" w:cs="B Nazanin"/>
                <w:sz w:val="20"/>
              </w:rPr>
            </m:ctrlPr>
          </m:sSubPr>
          <m:e>
            <m:r>
              <w:rPr>
                <w:rFonts w:ascii="Cambria Math" w:hAnsi="Cambria Math" w:cs="B Nazanin"/>
                <w:sz w:val="20"/>
              </w:rPr>
              <m:t>b</m:t>
            </m:r>
          </m:e>
          <m:sub>
            <m:r>
              <w:rPr>
                <w:rFonts w:ascii="Cambria Math" w:hAnsi="Cambria Math" w:cs="B Nazanin"/>
                <w:sz w:val="20"/>
              </w:rPr>
              <m:t>n</m:t>
            </m:r>
          </m:sub>
        </m:sSub>
      </m:oMath>
      <w:r w:rsidR="00950742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is assigned a value of 1 if is categorized, and 0 otherwise.</w:t>
      </w:r>
      <w:r w:rsidR="00950742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B Nazanin"/>
            <w:szCs w:val="24"/>
          </w:rPr>
          <m:t>F</m:t>
        </m:r>
        <m:r>
          <m:rPr>
            <m:sty m:val="p"/>
          </m:rPr>
          <w:rPr>
            <w:rFonts w:ascii="Cambria Math" w:hAnsi="Cambria Math" w:cs="B Nazani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Cs w:val="24"/>
                  </w:rPr>
                </m:ctrlPr>
              </m:sSubPr>
              <m:e>
                <m:r>
                  <w:rPr>
                    <w:rFonts w:ascii="Cambria Math" w:hAnsi="Cambria Math" w:cs="B Nazanin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B Nazanin"/>
                    <w:szCs w:val="24"/>
                  </w:rPr>
                  <m:t>nk</m:t>
                </m:r>
              </m:sub>
            </m:sSub>
          </m:e>
        </m:d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pertains to the membership degrees of the labeled samples, where </w:t>
      </w:r>
      <m:oMath>
        <m:sSub>
          <m:sSubPr>
            <m:ctrlPr>
              <w:rPr>
                <w:rFonts w:ascii="Cambria Math" w:hAnsi="Cambria Math" w:cs="B Nazanin"/>
                <w:sz w:val="20"/>
              </w:rPr>
            </m:ctrlPr>
          </m:sSubPr>
          <m:e>
            <m:r>
              <w:rPr>
                <w:rFonts w:ascii="Cambria Math" w:hAnsi="Cambria Math" w:cs="B Nazanin"/>
                <w:sz w:val="20"/>
              </w:rPr>
              <m:t>f</m:t>
            </m:r>
          </m:e>
          <m:sub>
            <m:r>
              <w:rPr>
                <w:rFonts w:ascii="Cambria Math" w:hAnsi="Cambria Math" w:cs="B Nazanin"/>
                <w:sz w:val="20"/>
              </w:rPr>
              <m:t>nk</m:t>
            </m:r>
          </m:sub>
        </m:sSub>
      </m:oMath>
      <w:r w:rsidR="00950742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is valued at 1 if sample</w:t>
      </w:r>
      <w:r w:rsidR="00950742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m:oMath>
        <m:r>
          <w:rPr>
            <w:rFonts w:ascii="Cambria Math" w:hAnsi="Cambria Math" w:cs="B Nazanin"/>
            <w:sz w:val="20"/>
          </w:rPr>
          <m:t>n</m:t>
        </m:r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is affiliated with class </w:t>
      </w:r>
      <m:oMath>
        <m:r>
          <w:rPr>
            <w:rFonts w:ascii="Cambria Math" w:hAnsi="Cambria Math" w:cs="B Nazanin"/>
            <w:sz w:val="20"/>
          </w:rPr>
          <m:t>k</m:t>
        </m:r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, and 0 in all other instances. Furthermore,</w:t>
      </w:r>
      <w:r w:rsidR="00950742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nk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k</m:t>
                </m:r>
              </m:sub>
            </m:sSub>
          </m:e>
        </m:d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denotes the Euclidean distance between sample</w:t>
      </w:r>
      <w:r w:rsidR="00950742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m:oMath>
        <m:r>
          <w:rPr>
            <w:rFonts w:ascii="Cambria Math" w:hAnsi="Cambria Math" w:cs="B Nazanin"/>
            <w:sz w:val="20"/>
          </w:rPr>
          <m:t>n</m:t>
        </m:r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and the centroid of cluster </w:t>
      </w:r>
      <m:oMath>
        <m:r>
          <w:rPr>
            <w:rFonts w:ascii="Cambria Math" w:hAnsi="Cambria Math" w:cs="B Nazanin"/>
            <w:sz w:val="20"/>
          </w:rPr>
          <m:t>k</m:t>
        </m:r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. By resolving the Lagrange equation, the updating equations (Eq. (</w:t>
      </w:r>
      <w:r w:rsidR="00950742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2</w:t>
      </w:r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) and Eq. (</w:t>
      </w:r>
      <w:r w:rsidR="00950742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3</w:t>
      </w:r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)) are derived for</w:t>
      </w:r>
      <w:r w:rsidR="00950742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nk</m:t>
            </m:r>
          </m:sub>
        </m:sSub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sub>
        </m:sSub>
      </m:oMath>
      <w:r w:rsidRPr="0043378E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, correspondingly: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900"/>
      </w:tblGrid>
      <w:tr w:rsidR="00950742" w14:paraId="43FBEB0C" w14:textId="77777777" w:rsidTr="000A652A">
        <w:tc>
          <w:tcPr>
            <w:tcW w:w="8460" w:type="dxa"/>
          </w:tcPr>
          <w:p w14:paraId="568ECFB6" w14:textId="39651E61" w:rsidR="00950742" w:rsidRPr="00905C55" w:rsidRDefault="00000000" w:rsidP="00AC090F">
            <w:pPr>
              <w:spacing w:line="360" w:lineRule="auto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nl</m:t>
                                </m:r>
                              </m:sub>
                            </m:sSub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nl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nary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nk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0" w:type="dxa"/>
            <w:vAlign w:val="center"/>
          </w:tcPr>
          <w:p w14:paraId="3FC35761" w14:textId="48F64AE5" w:rsidR="00950742" w:rsidRDefault="00950742" w:rsidP="00AC090F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(2)</w:t>
            </w:r>
          </w:p>
        </w:tc>
      </w:tr>
    </w:tbl>
    <w:p w14:paraId="4C5E7B49" w14:textId="77777777" w:rsidR="00950742" w:rsidRDefault="00950742" w:rsidP="00950742">
      <w:pPr>
        <w:spacing w:line="360" w:lineRule="auto"/>
        <w:ind w:firstLine="230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900"/>
      </w:tblGrid>
      <w:tr w:rsidR="00950742" w14:paraId="62AE6E5A" w14:textId="77777777" w:rsidTr="000A652A">
        <w:tc>
          <w:tcPr>
            <w:tcW w:w="8460" w:type="dxa"/>
          </w:tcPr>
          <w:p w14:paraId="5FAC70F7" w14:textId="77777777" w:rsidR="00950742" w:rsidRPr="00FE4D12" w:rsidRDefault="00000000" w:rsidP="00AC090F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Cs w:val="1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1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theme="majorBidi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Cs w:val="1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ajorBidi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Cs w:val="1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Cs w:val="1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1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theme="majorBidi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Cs w:val="1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ajorBidi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Cs w:val="1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Cs w:val="18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18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75769E93" w14:textId="3FF718EE" w:rsidR="00950742" w:rsidRDefault="00950742" w:rsidP="00AC090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</w:t>
            </w:r>
          </w:p>
        </w:tc>
      </w:tr>
    </w:tbl>
    <w:p w14:paraId="24A38511" w14:textId="0F3AB064" w:rsidR="000A652A" w:rsidRDefault="000A652A" w:rsidP="000A652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where in Eq. (2)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900"/>
      </w:tblGrid>
      <w:tr w:rsidR="000A652A" w14:paraId="60099A9E" w14:textId="77777777" w:rsidTr="00AC090F">
        <w:tc>
          <w:tcPr>
            <w:tcW w:w="8460" w:type="dxa"/>
          </w:tcPr>
          <w:p w14:paraId="3034AAF4" w14:textId="77777777" w:rsidR="000A652A" w:rsidRPr="00905C55" w:rsidRDefault="00000000" w:rsidP="00AC090F">
            <w:pPr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1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18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ajorBidi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1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Cs w:val="1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Cs w:val="18"/>
                      </w:rPr>
                      <m:t>nk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14:paraId="6F8F1AF2" w14:textId="77777777" w:rsidR="000A652A" w:rsidRDefault="000A652A" w:rsidP="00AC090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(4)</w:t>
            </w:r>
          </w:p>
        </w:tc>
      </w:tr>
    </w:tbl>
    <w:p w14:paraId="1E26EE40" w14:textId="77777777" w:rsidR="00950742" w:rsidRPr="00876A9D" w:rsidRDefault="00950742" w:rsidP="0043378E">
      <w:pPr>
        <w:spacing w:after="0" w:line="360" w:lineRule="auto"/>
        <w:ind w:firstLine="227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</w:pPr>
    </w:p>
    <w:sectPr w:rsidR="00950742" w:rsidRPr="0087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2658B"/>
    <w:multiLevelType w:val="multilevel"/>
    <w:tmpl w:val="0BF2AC1E"/>
    <w:lvl w:ilvl="0">
      <w:start w:val="1"/>
      <w:numFmt w:val="decimal"/>
      <w:pStyle w:val="Sectionheading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sectionheading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944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9D"/>
    <w:rsid w:val="000A652A"/>
    <w:rsid w:val="001E6887"/>
    <w:rsid w:val="003162D9"/>
    <w:rsid w:val="0043378E"/>
    <w:rsid w:val="004C034B"/>
    <w:rsid w:val="00876A9D"/>
    <w:rsid w:val="00950742"/>
    <w:rsid w:val="009E2784"/>
    <w:rsid w:val="00B62B97"/>
    <w:rsid w:val="00C11FBA"/>
    <w:rsid w:val="00E22E57"/>
    <w:rsid w:val="00EE5CF4"/>
    <w:rsid w:val="00F8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E517"/>
  <w15:chartTrackingRefBased/>
  <w15:docId w15:val="{331205A8-CD6F-467B-B8C5-13D8DA43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qFormat/>
    <w:rsid w:val="00876A9D"/>
    <w:pPr>
      <w:keepNext/>
      <w:keepLines/>
      <w:numPr>
        <w:numId w:val="1"/>
      </w:numPr>
      <w:tabs>
        <w:tab w:val="left" w:pos="454"/>
      </w:tabs>
      <w:suppressAutoHyphens/>
      <w:spacing w:before="520" w:after="280" w:line="240" w:lineRule="auto"/>
      <w:jc w:val="both"/>
    </w:pPr>
    <w:rPr>
      <w:rFonts w:ascii="Times" w:eastAsia="Times New Roman" w:hAnsi="Times" w:cs="Times New Roman"/>
      <w:b/>
      <w:kern w:val="0"/>
      <w:sz w:val="24"/>
      <w:szCs w:val="20"/>
      <w:lang w:val="en-GB" w:eastAsia="de-DE"/>
      <w14:ligatures w14:val="none"/>
    </w:rPr>
  </w:style>
  <w:style w:type="paragraph" w:customStyle="1" w:styleId="Subsectionheading">
    <w:name w:val="Subsection heading"/>
    <w:basedOn w:val="Normal"/>
    <w:link w:val="SubsectionheadingChar"/>
    <w:qFormat/>
    <w:rsid w:val="00876A9D"/>
    <w:pPr>
      <w:keepNext/>
      <w:keepLines/>
      <w:numPr>
        <w:ilvl w:val="1"/>
        <w:numId w:val="1"/>
      </w:numPr>
      <w:tabs>
        <w:tab w:val="left" w:pos="454"/>
      </w:tabs>
      <w:suppressAutoHyphens/>
      <w:spacing w:before="520" w:after="280" w:line="240" w:lineRule="auto"/>
      <w:jc w:val="both"/>
    </w:pPr>
    <w:rPr>
      <w:rFonts w:ascii="Times" w:eastAsia="Times New Roman" w:hAnsi="Times" w:cs="Times New Roman"/>
      <w:i/>
      <w:kern w:val="0"/>
      <w:sz w:val="24"/>
      <w:szCs w:val="20"/>
      <w:lang w:val="en-GB" w:eastAsia="de-DE"/>
      <w14:ligatures w14:val="none"/>
    </w:rPr>
  </w:style>
  <w:style w:type="character" w:customStyle="1" w:styleId="SubsectionheadingChar">
    <w:name w:val="Subsection heading Char"/>
    <w:basedOn w:val="DefaultParagraphFont"/>
    <w:link w:val="Subsectionheading"/>
    <w:rsid w:val="00876A9D"/>
    <w:rPr>
      <w:rFonts w:ascii="Times" w:eastAsia="Times New Roman" w:hAnsi="Times" w:cs="Times New Roman"/>
      <w:i/>
      <w:kern w:val="0"/>
      <w:sz w:val="24"/>
      <w:szCs w:val="20"/>
      <w:lang w:val="en-GB" w:eastAsia="de-DE"/>
      <w14:ligatures w14:val="none"/>
    </w:rPr>
  </w:style>
  <w:style w:type="table" w:styleId="TableGrid">
    <w:name w:val="Table Grid"/>
    <w:basedOn w:val="TableNormal"/>
    <w:uiPriority w:val="39"/>
    <w:rsid w:val="00876A9D"/>
    <w:pPr>
      <w:spacing w:after="0" w:line="240" w:lineRule="auto"/>
    </w:pPr>
    <w:rPr>
      <w:rFonts w:ascii="Times" w:eastAsia="Times New Roman" w:hAnsi="Times" w:cs="Times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76A9D"/>
    <w:pPr>
      <w:spacing w:after="0" w:line="240" w:lineRule="auto"/>
      <w:ind w:left="720" w:firstLine="227"/>
      <w:contextualSpacing/>
      <w:jc w:val="both"/>
    </w:pPr>
    <w:rPr>
      <w:rFonts w:ascii="Times" w:eastAsia="Times New Roman" w:hAnsi="Times" w:cs="Times New Roman"/>
      <w:kern w:val="0"/>
      <w:sz w:val="20"/>
      <w:szCs w:val="20"/>
      <w:lang w:eastAsia="de-DE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6A9D"/>
    <w:rPr>
      <w:rFonts w:ascii="Times" w:eastAsia="Times New Roman" w:hAnsi="Times" w:cs="Times New Roman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system</dc:creator>
  <cp:keywords/>
  <dc:description/>
  <cp:lastModifiedBy>soheil system</cp:lastModifiedBy>
  <cp:revision>4</cp:revision>
  <dcterms:created xsi:type="dcterms:W3CDTF">2024-08-14T23:08:00Z</dcterms:created>
  <dcterms:modified xsi:type="dcterms:W3CDTF">2024-08-18T18:21:00Z</dcterms:modified>
</cp:coreProperties>
</file>