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HumidClimatologyEngine v11.5</w:t>
      </w:r>
    </w:p>
    <w:p>
      <w:pPr>
        <w:jc w:val="center"/>
      </w:pPr>
      <w:r>
        <w:rPr>
          <w:i/>
          <w:sz w:val="24"/>
        </w:rPr>
        <w:t>Analytical and Graphical Comparison Toolkit - Complete Specification</w:t>
      </w:r>
    </w:p>
    <w:p>
      <w:pPr>
        <w:pStyle w:val="Heading1"/>
      </w:pPr>
      <w:r>
        <w:t>Mission</w:t>
      </w:r>
    </w:p>
    <w:p>
      <w:r>
        <w:t>The analysis layer is intended to make the five v11.5 period products directly comparable without requiring a user to open NetCDF files manually. It must generate machine-readable tables, graphical maps, seasonal/diurnal summaries and a reproducible report.</w:t>
      </w:r>
    </w:p>
    <w:p>
      <w:pPr>
        <w:pStyle w:val="Heading1"/>
      </w:pPr>
      <w:r>
        <w:t>1. Inputs</w:t>
      </w:r>
    </w:p>
    <w:p>
      <w:pPr>
        <w:pStyle w:val="ListBullet"/>
      </w:pPr>
      <w:r>
        <w:t>DECADE_1981_1990 main/diagnostic/bivariate/histogram files.</w:t>
      </w:r>
    </w:p>
    <w:p>
      <w:pPr>
        <w:pStyle w:val="ListBullet"/>
      </w:pPr>
      <w:r>
        <w:t>DECADE_1991_2000 equivalents.</w:t>
      </w:r>
    </w:p>
    <w:p>
      <w:pPr>
        <w:pStyle w:val="ListBullet"/>
      </w:pPr>
      <w:r>
        <w:t>DECADE_2001_2010 equivalents.</w:t>
      </w:r>
    </w:p>
    <w:p>
      <w:pPr>
        <w:pStyle w:val="ListBullet"/>
      </w:pPr>
      <w:r>
        <w:t>DECADE_2011_2020 equivalents.</w:t>
      </w:r>
    </w:p>
    <w:p>
      <w:pPr>
        <w:pStyle w:val="ListBullet"/>
      </w:pPr>
      <w:r>
        <w:t>FULL_1981_2020 equivalents.</w:t>
      </w:r>
    </w:p>
    <w:p>
      <w:pPr>
        <w:pStyle w:val="ListBullet"/>
      </w:pPr>
      <w:r>
        <w:t>Optional station/grid-cell selection JSON or CSV.</w:t>
      </w:r>
    </w:p>
    <w:p>
      <w:pPr>
        <w:pStyle w:val="Heading1"/>
      </w:pPr>
      <w:r>
        <w:t>2. Mandatory analytical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CEAF7"/>
          </w:tcPr>
          <w:p>
            <w:r>
              <w:t>Output</w:t>
            </w:r>
          </w:p>
        </w:tc>
        <w:tc>
          <w:tcPr>
            <w:tcW w:type="dxa" w:w="5040"/>
            <w:shd w:fill="DCEAF7"/>
          </w:tcPr>
          <w:p>
            <w:r>
              <w:t>Content</w:t>
            </w:r>
          </w:p>
        </w:tc>
      </w:tr>
      <w:tr>
        <w:tc>
          <w:tcPr>
            <w:tcW w:type="dxa" w:w="5040"/>
            <w:vAlign w:val="top"/>
          </w:tcPr>
          <w:p>
            <w:r>
              <w:t>Table: climatology_overview</w:t>
            </w:r>
          </w:p>
        </w:tc>
        <w:tc>
          <w:tcPr>
            <w:tcW w:type="dxa" w:w="5040"/>
            <w:vAlign w:val="top"/>
          </w:tcPr>
          <w:p>
            <w:r>
              <w:t>Mean/std/skew/kurt/min/max by period.</w:t>
            </w:r>
          </w:p>
        </w:tc>
      </w:tr>
      <w:tr>
        <w:tc>
          <w:tcPr>
            <w:tcW w:type="dxa" w:w="5040"/>
            <w:vAlign w:val="top"/>
          </w:tcPr>
          <w:p>
            <w:r>
              <w:t>Table: decadal_change</w:t>
            </w:r>
          </w:p>
        </w:tc>
        <w:tc>
          <w:tcPr>
            <w:tcW w:type="dxa" w:w="5040"/>
            <w:vAlign w:val="top"/>
          </w:tcPr>
          <w:p>
            <w:r>
              <w:t>Absolute and percent changes relative to first decade and FULL.</w:t>
            </w:r>
          </w:p>
        </w:tc>
      </w:tr>
      <w:tr>
        <w:tc>
          <w:tcPr>
            <w:tcW w:type="dxa" w:w="5040"/>
            <w:vAlign w:val="top"/>
          </w:tcPr>
          <w:p>
            <w:r>
              <w:t>Table: quantile_change</w:t>
            </w:r>
          </w:p>
        </w:tc>
        <w:tc>
          <w:tcPr>
            <w:tcW w:type="dxa" w:w="5040"/>
            <w:vAlign w:val="top"/>
          </w:tcPr>
          <w:p>
            <w:r>
              <w:t>P01-P99 and differences where available.</w:t>
            </w:r>
          </w:p>
        </w:tc>
      </w:tr>
      <w:tr>
        <w:tc>
          <w:tcPr>
            <w:tcW w:type="dxa" w:w="5040"/>
            <w:vAlign w:val="top"/>
          </w:tcPr>
          <w:p>
            <w:r>
              <w:t>Table: threshold_change</w:t>
            </w:r>
          </w:p>
        </w:tc>
        <w:tc>
          <w:tcPr>
            <w:tcW w:type="dxa" w:w="5040"/>
            <w:vAlign w:val="top"/>
          </w:tcPr>
          <w:p>
            <w:r>
              <w:t>Threshold probability differences.</w:t>
            </w:r>
          </w:p>
        </w:tc>
      </w:tr>
      <w:tr>
        <w:tc>
          <w:tcPr>
            <w:tcW w:type="dxa" w:w="5040"/>
            <w:vAlign w:val="top"/>
          </w:tcPr>
          <w:p>
            <w:r>
              <w:t>Table: joint_change</w:t>
            </w:r>
          </w:p>
        </w:tc>
        <w:tc>
          <w:tcPr>
            <w:tcW w:type="dxa" w:w="5040"/>
            <w:vAlign w:val="top"/>
          </w:tcPr>
          <w:p>
            <w:r>
              <w:t>Joint exceedance probability differences.</w:t>
            </w:r>
          </w:p>
        </w:tc>
      </w:tr>
      <w:tr>
        <w:tc>
          <w:tcPr>
            <w:tcW w:type="dxa" w:w="5040"/>
            <w:vAlign w:val="top"/>
          </w:tcPr>
          <w:p>
            <w:r>
              <w:t>Map: mean_change</w:t>
            </w:r>
          </w:p>
        </w:tc>
        <w:tc>
          <w:tcPr>
            <w:tcW w:type="dxa" w:w="5040"/>
            <w:vAlign w:val="top"/>
          </w:tcPr>
          <w:p>
            <w:r>
              <w:t>Spatial change by selected variable/level/DOY/month.</w:t>
            </w:r>
          </w:p>
        </w:tc>
      </w:tr>
      <w:tr>
        <w:tc>
          <w:tcPr>
            <w:tcW w:type="dxa" w:w="5040"/>
            <w:vAlign w:val="top"/>
          </w:tcPr>
          <w:p>
            <w:r>
              <w:t>Map: extreme_change</w:t>
            </w:r>
          </w:p>
        </w:tc>
        <w:tc>
          <w:tcPr>
            <w:tcW w:type="dxa" w:w="5040"/>
            <w:vAlign w:val="top"/>
          </w:tcPr>
          <w:p>
            <w:r>
              <w:t>Max/min or high-quantile changes.</w:t>
            </w:r>
          </w:p>
        </w:tc>
      </w:tr>
      <w:tr>
        <w:tc>
          <w:tcPr>
            <w:tcW w:type="dxa" w:w="5040"/>
            <w:vAlign w:val="top"/>
          </w:tcPr>
          <w:p>
            <w:r>
              <w:t>Heatmap: diurnal</w:t>
            </w:r>
          </w:p>
        </w:tc>
        <w:tc>
          <w:tcPr>
            <w:tcW w:type="dxa" w:w="5040"/>
            <w:vAlign w:val="top"/>
          </w:tcPr>
          <w:p>
            <w:r>
              <w:t>L2/L3 temporal signatures.</w:t>
            </w:r>
          </w:p>
        </w:tc>
      </w:tr>
      <w:tr>
        <w:tc>
          <w:tcPr>
            <w:tcW w:type="dxa" w:w="5040"/>
            <w:vAlign w:val="top"/>
          </w:tcPr>
          <w:p>
            <w:r>
              <w:t>Heatmap: annual cycle</w:t>
            </w:r>
          </w:p>
        </w:tc>
        <w:tc>
          <w:tcPr>
            <w:tcW w:type="dxa" w:w="5040"/>
            <w:vAlign w:val="top"/>
          </w:tcPr>
          <w:p>
            <w:r>
              <w:t>DOY x metric.</w:t>
            </w:r>
          </w:p>
        </w:tc>
      </w:tr>
      <w:tr>
        <w:tc>
          <w:tcPr>
            <w:tcW w:type="dxa" w:w="5040"/>
            <w:vAlign w:val="top"/>
          </w:tcPr>
          <w:p>
            <w:r>
              <w:t>Plot: decade profiles</w:t>
            </w:r>
          </w:p>
        </w:tc>
        <w:tc>
          <w:tcPr>
            <w:tcW w:type="dxa" w:w="5040"/>
            <w:vAlign w:val="top"/>
          </w:tcPr>
          <w:p>
            <w:r>
              <w:t>Four decades + FULL.</w:t>
            </w:r>
          </w:p>
        </w:tc>
      </w:tr>
      <w:tr>
        <w:tc>
          <w:tcPr>
            <w:tcW w:type="dxa" w:w="5040"/>
            <w:vAlign w:val="top"/>
          </w:tcPr>
          <w:p>
            <w:r>
              <w:t>Plot: distribution shape</w:t>
            </w:r>
          </w:p>
        </w:tc>
        <w:tc>
          <w:tcPr>
            <w:tcW w:type="dxa" w:w="5040"/>
            <w:vAlign w:val="top"/>
          </w:tcPr>
          <w:p>
            <w:r>
              <w:t>Skew/kurt/extreme summaries.</w:t>
            </w:r>
          </w:p>
        </w:tc>
      </w:tr>
      <w:tr>
        <w:tc>
          <w:tcPr>
            <w:tcW w:type="dxa" w:w="5040"/>
            <w:vAlign w:val="top"/>
          </w:tcPr>
          <w:p>
            <w:r>
              <w:t>Plot: dependence</w:t>
            </w:r>
          </w:p>
        </w:tc>
        <w:tc>
          <w:tcPr>
            <w:tcW w:type="dxa" w:w="5040"/>
            <w:vAlign w:val="top"/>
          </w:tcPr>
          <w:p>
            <w:r>
              <w:t>Correlation/covariance and empirical RH-q summaries.</w:t>
            </w:r>
          </w:p>
        </w:tc>
      </w:tr>
      <w:tr>
        <w:tc>
          <w:tcPr>
            <w:tcW w:type="dxa" w:w="5040"/>
            <w:vAlign w:val="top"/>
          </w:tcPr>
          <w:p>
            <w:r>
              <w:t>Report PDF/HTML</w:t>
            </w:r>
          </w:p>
        </w:tc>
        <w:tc>
          <w:tcPr>
            <w:tcW w:type="dxa" w:w="5040"/>
            <w:vAlign w:val="top"/>
          </w:tcPr>
          <w:p>
            <w:r>
              <w:t>All figures, tables, settings, provenance and interpretation notes.</w:t>
            </w:r>
          </w:p>
        </w:tc>
      </w:tr>
    </w:tbl>
    <w:p/>
    <w:p>
      <w:pPr>
        <w:pStyle w:val="Heading1"/>
      </w:pPr>
      <w:r>
        <w:t>3. Comparison metrics</w:t>
      </w:r>
    </w:p>
    <w:p>
      <w:pPr>
        <w:pStyle w:val="ListBullet"/>
      </w:pPr>
      <w:r>
        <w:t>Absolute difference = target - baseline.</w:t>
      </w:r>
    </w:p>
    <w:p>
      <w:pPr>
        <w:pStyle w:val="ListBullet"/>
      </w:pPr>
      <w:r>
        <w:t>Percent change = 100*(target-baseline)/abs(baseline) with zero-denominator handling.</w:t>
      </w:r>
    </w:p>
    <w:p>
      <w:pPr>
        <w:pStyle w:val="ListBullet"/>
      </w:pPr>
      <w:r>
        <w:t>Standardized difference where a pooled spread is available.</w:t>
      </w:r>
    </w:p>
    <w:p>
      <w:pPr>
        <w:pStyle w:val="ListBullet"/>
      </w:pPr>
      <w:r>
        <w:t>Rank-change for spatial ordering.</w:t>
      </w:r>
    </w:p>
    <w:p>
      <w:pPr>
        <w:pStyle w:val="ListBullet"/>
      </w:pPr>
      <w:r>
        <w:t>Threshold probability difference and relative risk.</w:t>
      </w:r>
    </w:p>
    <w:p>
      <w:pPr>
        <w:pStyle w:val="ListBullet"/>
      </w:pPr>
      <w:r>
        <w:t>Joint-exceedance probability difference.</w:t>
      </w:r>
    </w:p>
    <w:p>
      <w:pPr>
        <w:pStyle w:val="ListBullet"/>
      </w:pPr>
      <w:r>
        <w:t>Correlation difference for pair products.</w:t>
      </w:r>
    </w:p>
    <w:p>
      <w:pPr>
        <w:pStyle w:val="Heading1"/>
      </w:pPr>
      <w:r>
        <w:t>4. Graphical dashboard sections</w:t>
      </w:r>
    </w:p>
    <w:p>
      <w:pPr>
        <w:pStyle w:val="ListNumber"/>
      </w:pPr>
      <w:r>
        <w:t>Executive summary.</w:t>
      </w:r>
    </w:p>
    <w:p>
      <w:pPr>
        <w:pStyle w:val="ListNumber"/>
      </w:pPr>
      <w:r>
        <w:t>Decadal overview.</w:t>
      </w:r>
    </w:p>
    <w:p>
      <w:pPr>
        <w:pStyle w:val="ListNumber"/>
      </w:pPr>
      <w:r>
        <w:t>Annual climatological cycle.</w:t>
      </w:r>
    </w:p>
    <w:p>
      <w:pPr>
        <w:pStyle w:val="ListNumber"/>
      </w:pPr>
      <w:r>
        <w:t>Diurnal cycle.</w:t>
      </w:r>
    </w:p>
    <w:p>
      <w:pPr>
        <w:pStyle w:val="ListNumber"/>
      </w:pPr>
      <w:r>
        <w:t>Spatial mean maps.</w:t>
      </w:r>
    </w:p>
    <w:p>
      <w:pPr>
        <w:pStyle w:val="ListNumber"/>
      </w:pPr>
      <w:r>
        <w:t>Spatial change maps.</w:t>
      </w:r>
    </w:p>
    <w:p>
      <w:pPr>
        <w:pStyle w:val="ListNumber"/>
      </w:pPr>
      <w:r>
        <w:t>Extremes and thresholds.</w:t>
      </w:r>
    </w:p>
    <w:p>
      <w:pPr>
        <w:pStyle w:val="ListNumber"/>
      </w:pPr>
      <w:r>
        <w:t>Bivariate dependence.</w:t>
      </w:r>
    </w:p>
    <w:p>
      <w:pPr>
        <w:pStyle w:val="ListNumber"/>
      </w:pPr>
      <w:r>
        <w:t>Quality-control panel.</w:t>
      </w:r>
    </w:p>
    <w:p>
      <w:pPr>
        <w:pStyle w:val="ListNumber"/>
      </w:pPr>
      <w:r>
        <w:t>Provenance and reproducibility.</w:t>
      </w:r>
    </w:p>
    <w:p>
      <w:pPr>
        <w:pStyle w:val="Heading1"/>
      </w:pPr>
      <w:r>
        <w:t>5. Statistical safeguards</w:t>
      </w:r>
    </w:p>
    <w:p>
      <w:pPr>
        <w:pStyle w:val="ListBullet"/>
      </w:pPr>
      <w:r>
        <w:t>Never compare incompatible calendar slots.</w:t>
      </w:r>
    </w:p>
    <w:p>
      <w:pPr>
        <w:pStyle w:val="ListBullet"/>
      </w:pPr>
      <w:r>
        <w:t>Never compare L1 with L3 as though they were the same sample population.</w:t>
      </w:r>
    </w:p>
    <w:p>
      <w:pPr>
        <w:pStyle w:val="ListBullet"/>
      </w:pPr>
      <w:r>
        <w:t>Show sample counts next to probability estimates.</w:t>
      </w:r>
    </w:p>
    <w:p>
      <w:pPr>
        <w:pStyle w:val="ListBullet"/>
      </w:pPr>
      <w:r>
        <w:t>Mask low-support cells.</w:t>
      </w:r>
    </w:p>
    <w:p>
      <w:pPr>
        <w:pStyle w:val="ListBullet"/>
      </w:pPr>
      <w:r>
        <w:t>Distinguish absolute change from percentage change.</w:t>
      </w:r>
    </w:p>
    <w:p>
      <w:pPr>
        <w:pStyle w:val="ListBullet"/>
      </w:pPr>
      <w:r>
        <w:t>Preserve missing values rather than rendering them as zero.</w:t>
      </w:r>
    </w:p>
    <w:p>
      <w:pPr>
        <w:pStyle w:val="ListBullet"/>
      </w:pPr>
      <w:r>
        <w:t>Report the exact period, variable, level and pair used for each figure.</w:t>
      </w:r>
    </w:p>
    <w:p>
      <w:pPr>
        <w:pStyle w:val="Heading1"/>
      </w:pPr>
      <w:r>
        <w:t>6. Advanced analyses to include</w:t>
      </w:r>
    </w:p>
    <w:p>
      <w:pPr>
        <w:pStyle w:val="ListBullet"/>
      </w:pPr>
      <w:r>
        <w:t>Spatial clustering of decadal change.</w:t>
      </w:r>
    </w:p>
    <w:p>
      <w:pPr>
        <w:pStyle w:val="ListBullet"/>
      </w:pPr>
      <w:r>
        <w:t>Hotspot maps of joint RH-q exceedance changes.</w:t>
      </w:r>
    </w:p>
    <w:p>
      <w:pPr>
        <w:pStyle w:val="ListBullet"/>
      </w:pPr>
      <w:r>
        <w:t>Seasonal amplitude and phase diagnostics.</w:t>
      </w:r>
    </w:p>
    <w:p>
      <w:pPr>
        <w:pStyle w:val="ListBullet"/>
      </w:pPr>
      <w:r>
        <w:t>Diurnal peak-time shift detection.</w:t>
      </w:r>
    </w:p>
    <w:p>
      <w:pPr>
        <w:pStyle w:val="ListBullet"/>
      </w:pPr>
      <w:r>
        <w:t>Percentile-exceedance duration summaries where data support them.</w:t>
      </w:r>
    </w:p>
    <w:p>
      <w:pPr>
        <w:pStyle w:val="ListBullet"/>
      </w:pPr>
      <w:r>
        <w:t>Local versus domain-wide change ranking.</w:t>
      </w:r>
    </w:p>
    <w:p>
      <w:pPr>
        <w:pStyle w:val="ListBullet"/>
      </w:pPr>
      <w:r>
        <w:t>Agreement of change sign across L1/L2/L3.</w:t>
      </w:r>
    </w:p>
    <w:p>
      <w:pPr>
        <w:pStyle w:val="ListBullet"/>
      </w:pPr>
      <w:r>
        <w:t>Cross-variable change matrix for RH/e/r/q.</w:t>
      </w:r>
    </w:p>
    <w:p>
      <w:pPr>
        <w:pStyle w:val="Heading1"/>
      </w:pPr>
      <w:r>
        <w:t>7. Reproducible report contract</w:t>
      </w:r>
    </w:p>
    <w:p>
      <w:r>
        <w:t>Every analysis package must store the source paths, source hashes when available, engine version, schema version, calendar contract, variable, level, period pair, thresholds, plotting settings and creation timestamp.</w:t>
      </w:r>
    </w:p>
    <w:p>
      <w:pPr>
        <w:pStyle w:val="Heading1"/>
      </w:pPr>
      <w:r>
        <w:t>8. Quality-control pages</w:t>
      </w:r>
    </w:p>
    <w:p>
      <w:pPr>
        <w:pStyle w:val="ListBullet"/>
      </w:pPr>
      <w:r>
        <w:t>Input compatibility page.</w:t>
      </w:r>
    </w:p>
    <w:p>
      <w:pPr>
        <w:pStyle w:val="ListBullet"/>
      </w:pPr>
      <w:r>
        <w:t>Count-support page.</w:t>
      </w:r>
    </w:p>
    <w:p>
      <w:pPr>
        <w:pStyle w:val="ListBullet"/>
      </w:pPr>
      <w:r>
        <w:t>Min/max sanity page.</w:t>
      </w:r>
    </w:p>
    <w:p>
      <w:pPr>
        <w:pStyle w:val="ListBullet"/>
      </w:pPr>
      <w:r>
        <w:t>Correlation bounds page.</w:t>
      </w:r>
    </w:p>
    <w:p>
      <w:pPr>
        <w:pStyle w:val="ListBullet"/>
      </w:pPr>
      <w:r>
        <w:t>Histogram normalization page.</w:t>
      </w:r>
    </w:p>
    <w:p>
      <w:pPr>
        <w:pStyle w:val="ListBullet"/>
      </w:pPr>
      <w:r>
        <w:t>Decade-merge consistency page.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HumidClimatologyEngine v11.5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