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HumidClimatologyEngine v11.5.0</w:t>
      </w:r>
    </w:p>
    <w:p>
      <w:pPr>
        <w:jc w:val="center"/>
      </w:pPr>
      <w:r>
        <w:rPr>
          <w:i/>
          <w:sz w:val="22"/>
        </w:rPr>
        <w:t>Complete Scientific, Statistical, Engineering, Operational and Reproducibility Reference</w:t>
      </w:r>
    </w:p>
    <w:p>
      <w:r>
        <w:t>Release identity: HumidClimatologyEngine 11.5.0</w:t>
      </w:r>
    </w:p>
    <w:p>
      <w:r>
        <w:t>Schema: 10.0-FINAL | Checkpoint: 10.0-POWER-SAFE-BLOCKDAY</w:t>
      </w:r>
    </w:p>
    <w:p>
      <w:r>
        <w:t>This document is intended to be a self-contained primary reference. A reader should not need a second technical reference to understand the data contract, processing model, statistics, failure handling, outputs, and interpretation.</w:t>
      </w:r>
    </w:p>
    <w:p>
      <w:pPr>
        <w:ind w:left="216"/>
      </w:pPr>
      <w:r>
        <w:rPr>
          <w:rFonts w:ascii="Consolas" w:hAnsi="Consolas"/>
          <w:sz w:val="16"/>
        </w:rPr>
        <w:t>Primary input contract: T2m + D2m + Surface Pressure (same primary input families used by the historical v8 workflow)</w:t>
      </w:r>
    </w:p>
    <w:p>
      <w:r>
        <w:br w:type="page"/>
      </w:r>
    </w:p>
    <w:p>
      <w:pPr>
        <w:jc w:val="center"/>
      </w:pPr>
      <w:r>
        <w:rPr>
          <w:b/>
          <w:sz w:val="46"/>
        </w:rPr>
        <w:t>1. Executive overview</w:t>
      </w:r>
    </w:p>
    <w:p>
      <w:pPr>
        <w:jc w:val="center"/>
      </w:pPr>
      <w:r>
        <w:rPr>
          <w:i/>
          <w:sz w:val="22"/>
        </w:rPr>
        <w:t>Chapter 1</w:t>
      </w:r>
    </w:p>
    <w:p>
      <w:r>
        <w:t>v11.5 is the production successor of the hourly empirical v8 foundation. It preserves the same primary ERA5-Land input families while extending the software contract to three temporal resolutions, four decade products plus FULL 1981-2020, richer exact statistics, pair-wise dependence, thresholds, empirical joint structure, transactional recovery, audit and analysis.</w:t>
      </w:r>
    </w:p>
    <w:p>
      <w:pPr>
        <w:pStyle w:val="Heading2"/>
      </w:pPr>
      <w:r>
        <w:t>Implementation contract</w:t>
      </w:r>
    </w:p>
    <w:p>
      <w:r>
        <w:t>The central scientific principle is empirical-first: observed hourly states define the climatological sample. Parametric distributions are candidates, not hidden assumptions.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 Software identity and repository compatibility</w:t>
      </w:r>
    </w:p>
    <w:p>
      <w:pPr>
        <w:jc w:val="center"/>
      </w:pPr>
      <w:r>
        <w:rPr>
          <w:i/>
          <w:sz w:val="22"/>
        </w:rPr>
        <w:t>Chapter 2</w:t>
      </w:r>
    </w:p>
    <w:p>
      <w:r>
        <w:t>The software is version 11.5.0 even when the repository retains the historical filename `moisture_climatology_v8_0_FINAL_SINGLE_PASS_.py`. This is a compatibility naming decision, not a version claim.</w:t>
      </w:r>
    </w:p>
    <w:p>
      <w:pPr>
        <w:pStyle w:val="Heading2"/>
      </w:pPr>
      <w:r>
        <w:t>Implementation contract</w:t>
      </w:r>
    </w:p>
    <w:p>
      <w:r>
        <w:t>The schema and checkpoint versions are explicit in source and output metadata; v8 checkpoint files must never be mixed with v11.5 checkpoint files.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t>3. Historical lineage v6 -&gt; v7.5 -&gt; v8 -&gt; v11.5</w:t>
      </w:r>
    </w:p>
    <w:p>
      <w:pPr>
        <w:jc w:val="center"/>
      </w:pPr>
      <w:r>
        <w:rPr>
          <w:i/>
          <w:sz w:val="22"/>
        </w:rPr>
        <w:t>Chapter 3</w:t>
      </w:r>
    </w:p>
    <w:p>
      <w:r>
        <w:t>v6 remains a historical/educational daily-statistical Gaussian/Monte-Carlo method. v7.5 established the hourly empirical production path and flexible modelling/reporting. v8 provided the direct hourly single-pass foundation. v11.5 turns that foundation into a richer multi-level and power-safe engine.</w:t>
      </w:r>
    </w:p>
    <w:p>
      <w:pPr>
        <w:pStyle w:val="Heading2"/>
      </w:pPr>
      <w:r>
        <w:t>Implementation contract</w:t>
      </w:r>
    </w:p>
    <w:p>
      <w:r>
        <w:t>Preserving old releases is necessary for scientific reproducibility; v11.5 does not rewrite their historical meaning.</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 Input contract</w:t>
      </w:r>
    </w:p>
    <w:p>
      <w:pPr>
        <w:jc w:val="center"/>
      </w:pPr>
      <w:r>
        <w:rPr>
          <w:i/>
          <w:sz w:val="22"/>
        </w:rPr>
        <w:t>Chapter 4</w:t>
      </w:r>
    </w:p>
    <w:p>
      <w:r>
        <w:t>Required inputs are t2m, d2m and sp. The default folders are the same three folders used by v8. File names are inventory aids; actual datetime coordinates are authoritative.</w:t>
      </w:r>
    </w:p>
    <w:p>
      <w:pPr>
        <w:pStyle w:val="Heading2"/>
      </w:pPr>
      <w:r>
        <w:t>Implementation contract</w:t>
      </w:r>
    </w:p>
    <w:p>
      <w:r>
        <w:t>Every month for every year must be uniquely identified. Missing or duplicate months are hard failures.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5. Time axis and synchronization</w:t>
      </w:r>
    </w:p>
    <w:p>
      <w:pPr>
        <w:jc w:val="center"/>
      </w:pPr>
      <w:r>
        <w:rPr>
          <w:i/>
          <w:sz w:val="22"/>
        </w:rPr>
        <w:t>Chapter 5</w:t>
      </w:r>
    </w:p>
    <w:p>
      <w:r>
        <w:t>All three inputs must have compatible hourly timestamps. Pair statistics require synchronous observations; values from different timestamps must never be paired.</w:t>
      </w:r>
    </w:p>
    <w:p>
      <w:pPr>
        <w:pStyle w:val="Heading2"/>
      </w:pPr>
      <w:r>
        <w:t>Implementation contract</w:t>
      </w:r>
    </w:p>
    <w:p>
      <w:r>
        <w:t>The engine rejects duplicate/non-hourly axes and grid-coordinate mismatches rather than guessing.</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6. Grid and spatial chunking</w:t>
      </w:r>
    </w:p>
    <w:p>
      <w:pPr>
        <w:jc w:val="center"/>
      </w:pPr>
      <w:r>
        <w:rPr>
          <w:i/>
          <w:sz w:val="22"/>
        </w:rPr>
        <w:t>Chapter 6</w:t>
      </w:r>
    </w:p>
    <w:p>
      <w:r>
        <w:t>The input grid is treated as canonical. Spatial chunks bound RAM and determine I/O granularity. Default chunk dimensions are 64 x 128.</w:t>
      </w:r>
    </w:p>
    <w:p>
      <w:pPr>
        <w:pStyle w:val="Heading2"/>
      </w:pPr>
      <w:r>
        <w:t>Implementation contract</w:t>
      </w:r>
    </w:p>
    <w:p>
      <w:r>
        <w:t>A chunk boundary is an operational boundary only; it must never change the scientific meaning of a cell.</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7. Climatological calendar</w:t>
      </w:r>
    </w:p>
    <w:p>
      <w:pPr>
        <w:jc w:val="center"/>
      </w:pPr>
      <w:r>
        <w:rPr>
          <w:i/>
          <w:sz w:val="22"/>
        </w:rPr>
        <w:t>Chapter 7</w:t>
      </w:r>
    </w:p>
    <w:p>
      <w:r>
        <w:t>The production calendar has 366 slots. Slots 1-58 map Jan-01..Feb-27, slot 59 is reserved, slot 60 pools Feb-28 and Feb-29, and slots 61-366 map Mar-01..Dec-31.</w:t>
      </w:r>
    </w:p>
    <w:p>
      <w:pPr>
        <w:pStyle w:val="Heading2"/>
      </w:pPr>
      <w:r>
        <w:t>Implementation contract</w:t>
      </w:r>
    </w:p>
    <w:p>
      <w:r>
        <w:t>The mapping is tested for leap and non-leap years and is part of the output schema.</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8. Physical variables</w:t>
      </w:r>
    </w:p>
    <w:p>
      <w:pPr>
        <w:jc w:val="center"/>
      </w:pPr>
      <w:r>
        <w:rPr>
          <w:i/>
          <w:sz w:val="22"/>
        </w:rPr>
        <w:t>Chapter 8</w:t>
      </w:r>
    </w:p>
    <w:p>
      <w:r>
        <w:t>The engine derives T, Td, P, saturation vapour pressure, vapor pressure e, relative humidity RH, mixing ratio r and specific humidity q.</w:t>
      </w:r>
    </w:p>
    <w:p>
      <w:pPr>
        <w:pStyle w:val="Heading2"/>
      </w:pPr>
      <w:r>
        <w:t>Implementation contract</w:t>
      </w:r>
    </w:p>
    <w:p>
      <w:r>
        <w:t>RH clipping is separated from physical validity; an invalid pressure partition is never made valid by clipping.</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9. Thermodynamic formulas</w:t>
      </w:r>
    </w:p>
    <w:p>
      <w:pPr>
        <w:jc w:val="center"/>
      </w:pPr>
      <w:r>
        <w:rPr>
          <w:i/>
          <w:sz w:val="22"/>
        </w:rPr>
        <w:t>Chapter 9</w:t>
      </w:r>
    </w:p>
    <w:p>
      <w:r>
        <w:t>Temperature is normalized to Celsius and pressure to hPa. Water/ice saturation formulas are selected by temperature sign.</w:t>
      </w:r>
    </w:p>
    <w:p>
      <w:pPr>
        <w:pStyle w:val="Heading2"/>
      </w:pPr>
      <w:r>
        <w:t>Implementation contract</w:t>
      </w:r>
    </w:p>
    <w:p>
      <w:r>
        <w:t>The implementation uses vectorized NumPy arithmetic with float32 working arrays and float64 statistical state.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10. Validity masks and diagnostic counters</w:t>
      </w:r>
    </w:p>
    <w:p>
      <w:pPr>
        <w:jc w:val="center"/>
      </w:pPr>
      <w:r>
        <w:rPr>
          <w:i/>
          <w:sz w:val="22"/>
        </w:rPr>
        <w:t>Chapter 10</w:t>
      </w:r>
    </w:p>
    <w:p>
      <w:r>
        <w:t>Finite temperatures, finite positive pressure, positive vapor pressure and e&lt;P are required for r/q. Supersaturation is counted separately.</w:t>
      </w:r>
    </w:p>
    <w:p>
      <w:pPr>
        <w:pStyle w:val="Heading2"/>
      </w:pPr>
      <w:r>
        <w:t>Implementation contract</w:t>
      </w:r>
    </w:p>
    <w:p>
      <w:r>
        <w:t>This distinction prevents invalid states from disappearing into a generic missing-value bucket.</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11. Temporal level model</w:t>
      </w:r>
    </w:p>
    <w:p>
      <w:pPr>
        <w:jc w:val="center"/>
      </w:pPr>
      <w:r>
        <w:rPr>
          <w:i/>
          <w:sz w:val="22"/>
        </w:rPr>
        <w:t>Chapter 11</w:t>
      </w:r>
    </w:p>
    <w:p>
      <w:r>
        <w:t>L1 is daily pooled. L2 has eight 3-hour bins. L3 has 24 hourly bins. The combined level dimension contains 33 bins.</w:t>
      </w:r>
    </w:p>
    <w:p>
      <w:pPr>
        <w:pStyle w:val="Heading2"/>
      </w:pPr>
      <w:r>
        <w:t>Implementation contract</w:t>
      </w:r>
    </w:p>
    <w:p>
      <w:r>
        <w:t>L1 is the primary daily climatology; L2 and L3 expose diurnal structure that would disappear under whole-day pooling.</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12. Scalar online statistics</w:t>
      </w:r>
    </w:p>
    <w:p>
      <w:pPr>
        <w:jc w:val="center"/>
      </w:pPr>
      <w:r>
        <w:rPr>
          <w:i/>
          <w:sz w:val="22"/>
        </w:rPr>
        <w:t>Chapter 12</w:t>
      </w:r>
    </w:p>
    <w:p>
      <w:r>
        <w:t>For RH/e/r/q the persisted state contains n, mean, M2, M3, M4, min, max, missing counts and threshold counts.</w:t>
      </w:r>
    </w:p>
    <w:p>
      <w:pPr>
        <w:pStyle w:val="Heading2"/>
      </w:pPr>
      <w:r>
        <w:t>Implementation contract</w:t>
      </w:r>
    </w:p>
    <w:p>
      <w:r>
        <w:t>Moments are accumulated online so raw multidecade samples need not be retained in RAM.</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13. Moment mathematics</w:t>
      </w:r>
    </w:p>
    <w:p>
      <w:pPr>
        <w:jc w:val="center"/>
      </w:pPr>
      <w:r>
        <w:rPr>
          <w:i/>
          <w:sz w:val="22"/>
        </w:rPr>
        <w:t>Chapter 13</w:t>
      </w:r>
    </w:p>
    <w:p>
      <w:r>
        <w:t>The engine uses mergeable central-moment state. Variance is M2/(n-1); higher moments are finalized only when their sample-size and positivity conditions hold.</w:t>
      </w:r>
    </w:p>
    <w:p>
      <w:pPr>
        <w:pStyle w:val="Heading2"/>
      </w:pPr>
      <w:r>
        <w:t>Implementation contract</w:t>
      </w:r>
    </w:p>
    <w:p>
      <w:r>
        <w:t>The merge equations are essential because decade states and FULL states must be combinable without replaying the raw archive.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14. Extrema and threshold statistics</w:t>
      </w:r>
    </w:p>
    <w:p>
      <w:pPr>
        <w:jc w:val="center"/>
      </w:pPr>
      <w:r>
        <w:rPr>
          <w:i/>
          <w:sz w:val="22"/>
        </w:rPr>
        <w:t>Chapter 14</w:t>
      </w:r>
    </w:p>
    <w:p>
      <w:r>
        <w:t>Minimum and maximum are first-class outputs. RH thresholds, e thresholds, r thresholds and q thresholds are exact integer counters.</w:t>
      </w:r>
    </w:p>
    <w:p>
      <w:pPr>
        <w:pStyle w:val="Heading2"/>
      </w:pPr>
      <w:r>
        <w:t>Implementation contract</w:t>
      </w:r>
    </w:p>
    <w:p>
      <w:r>
        <w:t>Threshold counters are easier to audit than probabilities because the denominator and sample definition remain explicit.</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15. Bivariate paired state</w:t>
      </w:r>
    </w:p>
    <w:p>
      <w:pPr>
        <w:jc w:val="center"/>
      </w:pPr>
      <w:r>
        <w:rPr>
          <w:i/>
          <w:sz w:val="22"/>
        </w:rPr>
        <w:t>Chapter 15</w:t>
      </w:r>
    </w:p>
    <w:p>
      <w:r>
        <w:t>Configured pairs are RH-q, RH-e, q-e and r-q. Each pair retains paired-valid n, paired means, paired M2 values, Cxy, covariance and correlation.</w:t>
      </w:r>
    </w:p>
    <w:p>
      <w:pPr>
        <w:pStyle w:val="Heading2"/>
      </w:pPr>
      <w:r>
        <w:t>Implementation contract</w:t>
      </w:r>
    </w:p>
    <w:p>
      <w:r>
        <w:t>The pair-specific second moments are necessary so correlation is not accidentally computed from a different marginal mask.</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16. Empirical 2-D probability</w:t>
      </w:r>
    </w:p>
    <w:p>
      <w:pPr>
        <w:jc w:val="center"/>
      </w:pPr>
      <w:r>
        <w:rPr>
          <w:i/>
          <w:sz w:val="22"/>
        </w:rPr>
        <w:t>Chapter 16</w:t>
      </w:r>
    </w:p>
    <w:p>
      <w:r>
        <w:t>RH x q is the default empirical joint reference, represented as a piecewise-constant histogram. Default range is RH 0-130%, q 0-0.030 and resolution 8x8.</w:t>
      </w:r>
    </w:p>
    <w:p>
      <w:pPr>
        <w:pStyle w:val="Heading2"/>
      </w:pPr>
      <w:r>
        <w:t>Implementation contract</w:t>
      </w:r>
    </w:p>
    <w:p>
      <w:r>
        <w:t>Empirical joint structure is not a Gaussian surface and may retain skewness, multimodality and bounded behavior.</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17. Histogram design and limitations</w:t>
      </w:r>
    </w:p>
    <w:p>
      <w:pPr>
        <w:jc w:val="center"/>
      </w:pPr>
      <w:r>
        <w:rPr>
          <w:i/>
          <w:sz w:val="22"/>
        </w:rPr>
        <w:t>Chapter 17</w:t>
      </w:r>
    </w:p>
    <w:p>
      <w:r>
        <w:t>Histograms are persisted for L1 and L2 by default. L3 histograms are not stored by default to avoid disproportionate storage and sampling sparsity.</w:t>
      </w:r>
    </w:p>
    <w:p>
      <w:pPr>
        <w:pStyle w:val="Heading2"/>
      </w:pPr>
      <w:r>
        <w:t>Implementation contract</w:t>
      </w:r>
    </w:p>
    <w:p>
      <w:r>
        <w:t>Histogram binning is a resolution choice; sensitivity should be discussed in publication work.</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18. Quantile strategy</w:t>
      </w:r>
    </w:p>
    <w:p>
      <w:pPr>
        <w:jc w:val="center"/>
      </w:pPr>
      <w:r>
        <w:rPr>
          <w:i/>
          <w:sz w:val="22"/>
        </w:rPr>
        <w:t>Chapter 18</w:t>
      </w:r>
    </w:p>
    <w:p>
      <w:r>
        <w:t>When compressed quantile state is used, the representation is mergeable and compact rather than an exact raw-sample archive.</w:t>
      </w:r>
    </w:p>
    <w:p>
      <w:pPr>
        <w:pStyle w:val="Heading2"/>
      </w:pPr>
      <w:r>
        <w:t>Implementation contract</w:t>
      </w:r>
    </w:p>
    <w:p>
      <w:r>
        <w:t>A compressed quantile must be labelled approximate unless exact samples or exact order statistics are retained.</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19. Joint thresholds and event probabilities</w:t>
      </w:r>
    </w:p>
    <w:p>
      <w:pPr>
        <w:jc w:val="center"/>
      </w:pPr>
      <w:r>
        <w:rPr>
          <w:i/>
          <w:sz w:val="22"/>
        </w:rPr>
        <w:t>Chapter 19</w:t>
      </w:r>
    </w:p>
    <w:p>
      <w:r>
        <w:t>The engine tracks specified joint events such as RH&gt;80 AND q&gt;0.012. These counters can be normalized into probabilities or conditional frequencies.</w:t>
      </w:r>
    </w:p>
    <w:p>
      <w:pPr>
        <w:pStyle w:val="Heading2"/>
      </w:pPr>
      <w:r>
        <w:t>Implementation contract</w:t>
      </w:r>
    </w:p>
    <w:p>
      <w:r>
        <w:t>Joint event definitions are part of the configuration fingerprint and must be frozen for comparisons.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20. Four decade states</w:t>
      </w:r>
    </w:p>
    <w:p>
      <w:pPr>
        <w:jc w:val="center"/>
      </w:pPr>
      <w:r>
        <w:rPr>
          <w:i/>
          <w:sz w:val="22"/>
        </w:rPr>
        <w:t>Chapter 20</w:t>
      </w:r>
    </w:p>
    <w:p>
      <w:r>
        <w:t>v11.5 maintains 1981-1990, 1991-2000, 2001-2010 and 2011-2020 states.</w:t>
      </w:r>
    </w:p>
    <w:p>
      <w:pPr>
        <w:pStyle w:val="Heading2"/>
      </w:pPr>
      <w:r>
        <w:t>Implementation contract</w:t>
      </w:r>
    </w:p>
    <w:p>
      <w:r>
        <w:t>A year is routed to its decade and to FULL simultaneously, avoiding a second source replay solely to create FULL.</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21. FULL 1981-2020 and merge audit</w:t>
      </w:r>
    </w:p>
    <w:p>
      <w:pPr>
        <w:jc w:val="center"/>
      </w:pPr>
      <w:r>
        <w:rPr>
          <w:i/>
          <w:sz w:val="22"/>
        </w:rPr>
        <w:t>Chapter 21</w:t>
      </w:r>
    </w:p>
    <w:p>
      <w:r>
        <w:t>FULL is a direct all-year state. An independent audit can merge the four decade states and compare the result with FULL.</w:t>
      </w:r>
    </w:p>
    <w:p>
      <w:pPr>
        <w:pStyle w:val="Heading2"/>
      </w:pPr>
      <w:r>
        <w:t>Implementation contract</w:t>
      </w:r>
    </w:p>
    <w:p>
      <w:r>
        <w:t>A correct release requires the direct FULL and four-decade merge to agree within declared numerical tolerances.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22. Transaction architecture</w:t>
      </w:r>
    </w:p>
    <w:p>
      <w:pPr>
        <w:jc w:val="center"/>
      </w:pPr>
      <w:r>
        <w:rPr>
          <w:i/>
          <w:sz w:val="22"/>
        </w:rPr>
        <w:t>Chapter 22</w:t>
      </w:r>
    </w:p>
    <w:p>
      <w:r>
        <w:t>The durable work unit is one calendar day x one spatial block. The journal records an explicit transaction identity and committed status.</w:t>
      </w:r>
    </w:p>
    <w:p>
      <w:pPr>
        <w:pStyle w:val="Heading2"/>
      </w:pPr>
      <w:r>
        <w:t>Implementation contract</w:t>
      </w:r>
    </w:p>
    <w:p>
      <w:r>
        <w:t>Progress telemetry is never allowed to define scientific completion.</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23. Before-image and crash recovery</w:t>
      </w:r>
    </w:p>
    <w:p>
      <w:pPr>
        <w:jc w:val="center"/>
      </w:pPr>
      <w:r>
        <w:rPr>
          <w:i/>
          <w:sz w:val="22"/>
        </w:rPr>
        <w:t>Chapter 23</w:t>
      </w:r>
    </w:p>
    <w:p>
      <w:r>
        <w:t>Before mutation, the existing state for the work unit is captured as a rollback image. The image is checksummed before the transaction becomes recoverable.</w:t>
      </w:r>
    </w:p>
    <w:p>
      <w:pPr>
        <w:pStyle w:val="Heading2"/>
      </w:pPr>
      <w:r>
        <w:t>Implementation contract</w:t>
      </w:r>
    </w:p>
    <w:p>
      <w:r>
        <w:t>If power is lost before commit, the incomplete unit is restored and replayed. If commit is durable, replay is forbidden.</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24. Why the old checkpoint failure cannot be repeated</w:t>
      </w:r>
    </w:p>
    <w:p>
      <w:pPr>
        <w:jc w:val="center"/>
      </w:pPr>
      <w:r>
        <w:rPr>
          <w:i/>
          <w:sz w:val="22"/>
        </w:rPr>
        <w:t>Chapter 24</w:t>
      </w:r>
    </w:p>
    <w:p>
      <w:r>
        <w:t>The historical failure involved checkpoint growth and an apparent advancement of processing state without a trustworthy relationship to the scientific state.</w:t>
      </w:r>
    </w:p>
    <w:p>
      <w:pPr>
        <w:pStyle w:val="Heading2"/>
      </w:pPr>
      <w:r>
        <w:t>Implementation contract</w:t>
      </w:r>
    </w:p>
    <w:p>
      <w:r>
        <w:t>v11.5 explicitly separates telemetry from truth and ties completion to a durable commit record for the same state update.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25. Atomic metadata writes</w:t>
      </w:r>
    </w:p>
    <w:p>
      <w:pPr>
        <w:jc w:val="center"/>
      </w:pPr>
      <w:r>
        <w:rPr>
          <w:i/>
          <w:sz w:val="22"/>
        </w:rPr>
        <w:t>Chapter 25</w:t>
      </w:r>
    </w:p>
    <w:p>
      <w:r>
        <w:t>JSON metadata is written through temporary files, flushed, fsynced and replaced. Checkpoint NetCDF is synchronized before the commit marker is recorded.</w:t>
      </w:r>
    </w:p>
    <w:p>
      <w:pPr>
        <w:pStyle w:val="Heading2"/>
      </w:pPr>
      <w:r>
        <w:t>Implementation contract</w:t>
      </w:r>
    </w:p>
    <w:p>
      <w:r>
        <w:t>No application can promise durability beyond what the operating system and physical storage provide; the software nevertheless makes its transaction ordering explicit.</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26. Performance engineering</w:t>
      </w:r>
    </w:p>
    <w:p>
      <w:pPr>
        <w:jc w:val="center"/>
      </w:pPr>
      <w:r>
        <w:rPr>
          <w:i/>
          <w:sz w:val="22"/>
        </w:rPr>
        <w:t>Chapter 26</w:t>
      </w:r>
    </w:p>
    <w:p>
      <w:r>
        <w:t>The objective is minimum wall-clock time subject to correctness, bounded memory and recoverability. Single-process execution eliminates worker synchronization and multiprocessing I/O contention.</w:t>
      </w:r>
    </w:p>
    <w:p>
      <w:pPr>
        <w:pStyle w:val="Heading2"/>
      </w:pPr>
      <w:r>
        <w:t>Implementation contract</w:t>
      </w:r>
    </w:p>
    <w:p>
      <w:r>
        <w:t>The remaining dominant costs at full scale are source-file access, compression and state persistence.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27. Memory engineering</w:t>
      </w:r>
    </w:p>
    <w:p>
      <w:pPr>
        <w:jc w:val="center"/>
      </w:pPr>
      <w:r>
        <w:rPr>
          <w:i/>
          <w:sz w:val="22"/>
        </w:rPr>
        <w:t>Chapter 27</w:t>
      </w:r>
    </w:p>
    <w:p>
      <w:r>
        <w:t>Raw arrays are chunked. The active block is processed in vectorized form. State files for unrelated blocks are not kept open indefinitely.</w:t>
      </w:r>
    </w:p>
    <w:p>
      <w:pPr>
        <w:pStyle w:val="Heading2"/>
      </w:pPr>
      <w:r>
        <w:t>Implementation contract</w:t>
      </w:r>
    </w:p>
    <w:p>
      <w:r>
        <w:t>Memory tuning must be separated from scientific settings; changing chunk size must not change results.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28. Finalization and NetCDF output</w:t>
      </w:r>
    </w:p>
    <w:p>
      <w:pPr>
        <w:jc w:val="center"/>
      </w:pPr>
      <w:r>
        <w:rPr>
          <w:i/>
          <w:sz w:val="22"/>
        </w:rPr>
        <w:t>Chapter 28</w:t>
      </w:r>
    </w:p>
    <w:p>
      <w:r>
        <w:t>Finalization is streamed by period, DOY and spatial block. Main statistics, diagnostics, bivariate parameters and histogram products are written with explicit metadata.</w:t>
      </w:r>
    </w:p>
    <w:p>
      <w:pPr>
        <w:pStyle w:val="Heading2"/>
      </w:pPr>
      <w:r>
        <w:t>Implementation contract</w:t>
      </w:r>
    </w:p>
    <w:p>
      <w:r>
        <w:t>The final outputs remain readable without loading the entire multidecadal state into memory.</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29. Output schema</w:t>
      </w:r>
    </w:p>
    <w:p>
      <w:pPr>
        <w:jc w:val="center"/>
      </w:pPr>
      <w:r>
        <w:rPr>
          <w:i/>
          <w:sz w:val="22"/>
        </w:rPr>
        <w:t>Chapter 29</w:t>
      </w:r>
    </w:p>
    <w:p>
      <w:r>
        <w:t>The primary dimensions are DOY, level-bin, latitude and longitude, with additional threshold and histogram dimensions as required.</w:t>
      </w:r>
    </w:p>
    <w:p>
      <w:pPr>
        <w:pStyle w:val="Heading2"/>
      </w:pPr>
      <w:r>
        <w:t>Implementation contract</w:t>
      </w:r>
    </w:p>
    <w:p>
      <w:r>
        <w:t>Metadata records engine version, schema, calendar, level contract, thresholds and histogram definitions.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30. Five-day local fitting layer</w:t>
      </w:r>
    </w:p>
    <w:p>
      <w:pPr>
        <w:jc w:val="center"/>
      </w:pPr>
      <w:r>
        <w:rPr>
          <w:i/>
          <w:sz w:val="22"/>
        </w:rPr>
        <w:t>Chapter 30</w:t>
      </w:r>
    </w:p>
    <w:p>
      <w:r>
        <w:t>The repository history contains a five-day centered-window distribution-fitting/query workflow. That workflow is an adjacent analytical layer and is not part of the primary accumulation hot path of the current v11.5 core file. The v11.5 core is authoritative for hourly accumulation, L1/L2/L3 statistics, extrema, thresholds, paired dependence state, empirical histogram, decade/FULL states, checkpoints, recovery, audit and final NetCDF products.</w:t>
      </w:r>
    </w:p>
    <w:p>
      <w:pPr>
        <w:pStyle w:val="Heading2"/>
      </w:pPr>
      <w:r>
        <w:t>Implementation contract</w:t>
      </w:r>
    </w:p>
    <w:p>
      <w:r>
        <w:t>The window supports local distribution fitting and station/grid-cell queries without redefining the primary climatology.</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31. Candidate marginal distributions</w:t>
      </w:r>
    </w:p>
    <w:p>
      <w:pPr>
        <w:jc w:val="center"/>
      </w:pPr>
      <w:r>
        <w:rPr>
          <w:i/>
          <w:sz w:val="22"/>
        </w:rPr>
        <w:t>Chapter 31</w:t>
      </w:r>
    </w:p>
    <w:p>
      <w:r>
        <w:t>The historical fitting layer includes Normal, Skew-Normal, Pearson III, Beta for suitable bounded variables, and Bimodal Normal.</w:t>
      </w:r>
    </w:p>
    <w:p>
      <w:pPr>
        <w:pStyle w:val="Heading2"/>
      </w:pPr>
      <w:r>
        <w:t>Implementation contract</w:t>
      </w:r>
    </w:p>
    <w:p>
      <w:r>
        <w:t>Model selection is comparative; a candidate is not automatically scientifically correct.</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32. Copula and dependence modelling</w:t>
      </w:r>
    </w:p>
    <w:p>
      <w:pPr>
        <w:jc w:val="center"/>
      </w:pPr>
      <w:r>
        <w:rPr>
          <w:i/>
          <w:sz w:val="22"/>
        </w:rPr>
        <w:t>Chapter 32</w:t>
      </w:r>
    </w:p>
    <w:p>
      <w:r>
        <w:t>A Gaussian copula remains a reference candidate in the historical fitting layer. Additional family diagnostics can compare alternatives such as Student-t, Clayton, Gumbel and Frank.</w:t>
      </w:r>
    </w:p>
    <w:p>
      <w:pPr>
        <w:pStyle w:val="Heading2"/>
      </w:pPr>
      <w:r>
        <w:t>Implementation contract</w:t>
      </w:r>
    </w:p>
    <w:p>
      <w:r>
        <w:t>Copulas describe dependence, not marginal distributions; empirical RH-q remains the non-parametric reference.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33. Model selection and dominance reporting</w:t>
      </w:r>
    </w:p>
    <w:p>
      <w:pPr>
        <w:jc w:val="center"/>
      </w:pPr>
      <w:r>
        <w:rPr>
          <w:i/>
          <w:sz w:val="22"/>
        </w:rPr>
        <w:t>Chapter 33</w:t>
      </w:r>
    </w:p>
    <w:p>
      <w:r>
        <w:t>Candidate fits can be ranked using AICc/BIC together with multimodality and tail diagnostics. A frozen model selection result can be converted into spatial and seasonal dominance maps.</w:t>
      </w:r>
    </w:p>
    <w:p>
      <w:pPr>
        <w:pStyle w:val="Heading2"/>
      </w:pPr>
      <w:r>
        <w:t>Implementation contract</w:t>
      </w:r>
    </w:p>
    <w:p>
      <w:r>
        <w:t>A dominance map shows where a candidate wins the declared scoring rule, not where a physical law has been proven.</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34. Quality assurance hierarchy</w:t>
      </w:r>
    </w:p>
    <w:p>
      <w:pPr>
        <w:jc w:val="center"/>
      </w:pPr>
      <w:r>
        <w:rPr>
          <w:i/>
          <w:sz w:val="22"/>
        </w:rPr>
        <w:t>Chapter 34</w:t>
      </w:r>
    </w:p>
    <w:p>
      <w:r>
        <w:t>Calendar, physics, moments, merge, pairs, histogram, recovery, serialization and analysis checks form a layered test pyramid.</w:t>
      </w:r>
    </w:p>
    <w:p>
      <w:pPr>
        <w:pStyle w:val="Heading2"/>
      </w:pPr>
      <w:r>
        <w:t>Implementation contract</w:t>
      </w:r>
    </w:p>
    <w:p>
      <w:r>
        <w:t>A production run is not accepted merely because it reached 100% progress.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35. Provenance and reproducibility</w:t>
      </w:r>
    </w:p>
    <w:p>
      <w:pPr>
        <w:jc w:val="center"/>
      </w:pPr>
      <w:r>
        <w:rPr>
          <w:i/>
          <w:sz w:val="22"/>
        </w:rPr>
        <w:t>Chapter 35</w:t>
      </w:r>
    </w:p>
    <w:p>
      <w:r>
        <w:t>The run manifest should retain source identity, configuration fingerprint, script hash, input inventory, period, schema, checkpoint lineage and output hashes.</w:t>
      </w:r>
    </w:p>
    <w:p>
      <w:pPr>
        <w:pStyle w:val="Heading2"/>
      </w:pPr>
      <w:r>
        <w:t>Implementation contract</w:t>
      </w:r>
    </w:p>
    <w:p>
      <w:r>
        <w:t>The exact executed configuration is authoritative; README defaults are explanatory only.</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36. Operational runbook</w:t>
      </w:r>
    </w:p>
    <w:p>
      <w:pPr>
        <w:jc w:val="center"/>
      </w:pPr>
      <w:r>
        <w:rPr>
          <w:i/>
          <w:sz w:val="22"/>
        </w:rPr>
        <w:t>Chapter 36</w:t>
      </w:r>
    </w:p>
    <w:p>
      <w:r>
        <w:t>Recommended sequence: selftest -&gt; input validation -&gt; small real-data pilot -&gt; fault-injection recovery test -&gt; production -&gt; audit -&gt; merge-audit -&gt; analytical comparison -&gt; archive.</w:t>
      </w:r>
    </w:p>
    <w:p>
      <w:pPr>
        <w:pStyle w:val="Heading2"/>
      </w:pPr>
      <w:r>
        <w:t>Implementation contract</w:t>
      </w:r>
    </w:p>
    <w:p>
      <w:r>
        <w:t>After interruption, retain checkpoints and restart with the same code/configuration.</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37. Analytical comparison framework</w:t>
      </w:r>
    </w:p>
    <w:p>
      <w:pPr>
        <w:jc w:val="center"/>
      </w:pPr>
      <w:r>
        <w:rPr>
          <w:i/>
          <w:sz w:val="22"/>
        </w:rPr>
        <w:t>Chapter 37</w:t>
      </w:r>
    </w:p>
    <w:p>
      <w:r>
        <w:t>The analysis layer must compare four decades and FULL across L1/L2/L3, variables, quantiles, extrema, thresholds, dependence, season and geography.</w:t>
      </w:r>
    </w:p>
    <w:p>
      <w:pPr>
        <w:pStyle w:val="Heading2"/>
      </w:pPr>
      <w:r>
        <w:t>Implementation contract</w:t>
      </w:r>
    </w:p>
    <w:p>
      <w:r>
        <w:t>Absolute change, percentage change, standardized change and threshold-risk change should be reported with sample support.</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38. Spatial and temporal science questions</w:t>
      </w:r>
    </w:p>
    <w:p>
      <w:pPr>
        <w:jc w:val="center"/>
      </w:pPr>
      <w:r>
        <w:rPr>
          <w:i/>
          <w:sz w:val="22"/>
        </w:rPr>
        <w:t>Chapter 38</w:t>
      </w:r>
    </w:p>
    <w:p>
      <w:r>
        <w:t>The engine can support questions about location, day-of-year, hour, decade, moisture variable, joint event and dependence changes.</w:t>
      </w:r>
    </w:p>
    <w:p>
      <w:pPr>
        <w:pStyle w:val="Heading2"/>
      </w:pPr>
      <w:r>
        <w:t>Implementation contract</w:t>
      </w:r>
    </w:p>
    <w:p>
      <w:r>
        <w:t>Spatial rankings must be accompanied by support and uncertainty indicators to avoid overinterpreting sparse cells.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39. Publication and reporting rules</w:t>
      </w:r>
    </w:p>
    <w:p>
      <w:pPr>
        <w:jc w:val="center"/>
      </w:pPr>
      <w:r>
        <w:rPr>
          <w:i/>
          <w:sz w:val="22"/>
        </w:rPr>
        <w:t>Chapter 39</w:t>
      </w:r>
    </w:p>
    <w:p>
      <w:r>
        <w:t>Every figure/table should identify source period, variable, level, cell/region, sample count and software/schema version.</w:t>
      </w:r>
    </w:p>
    <w:p>
      <w:pPr>
        <w:pStyle w:val="Heading2"/>
      </w:pPr>
      <w:r>
        <w:t>Implementation contract</w:t>
      </w:r>
    </w:p>
    <w:p>
      <w:r>
        <w:t>Parametric fits must be labelled as models; empirical products must be labelled as data-driven references.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40. Troubleshooting and failure classes</w:t>
      </w:r>
    </w:p>
    <w:p>
      <w:pPr>
        <w:jc w:val="center"/>
      </w:pPr>
      <w:r>
        <w:rPr>
          <w:i/>
          <w:sz w:val="22"/>
        </w:rPr>
        <w:t>Chapter 40</w:t>
      </w:r>
    </w:p>
    <w:p>
      <w:r>
        <w:t>Input, calendar, physics, state, transaction, output and analysis failures are distinct classes and should remain visible in logs.</w:t>
      </w:r>
    </w:p>
    <w:p>
      <w:pPr>
        <w:pStyle w:val="Heading2"/>
      </w:pPr>
      <w:r>
        <w:t>Implementation contract</w:t>
      </w:r>
    </w:p>
    <w:p>
      <w:r>
        <w:t>Do not bypass a checksum or manually mark a transaction as committed to make a run finish.</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41. Migration and regression from v8</w:t>
      </w:r>
    </w:p>
    <w:p>
      <w:pPr>
        <w:jc w:val="center"/>
      </w:pPr>
      <w:r>
        <w:rPr>
          <w:i/>
          <w:sz w:val="22"/>
        </w:rPr>
        <w:t>Chapter 41</w:t>
      </w:r>
    </w:p>
    <w:p>
      <w:r>
        <w:t>Reuse the raw ERA5 archive, not v8 checkpoint states. Compare the common L1 RH/e/r/q products on controlled subsets first.</w:t>
      </w:r>
    </w:p>
    <w:p>
      <w:pPr>
        <w:pStyle w:val="Heading2"/>
      </w:pPr>
      <w:r>
        <w:t>Implementation contract</w:t>
      </w:r>
    </w:p>
    <w:p>
      <w:r>
        <w:t>New L2/L3, additional pair states, extrema and multi-period products are v11.5 features and require their own validation.</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42. Release acceptance criteria</w:t>
      </w:r>
    </w:p>
    <w:p>
      <w:pPr>
        <w:jc w:val="center"/>
      </w:pPr>
      <w:r>
        <w:rPr>
          <w:i/>
          <w:sz w:val="22"/>
        </w:rPr>
        <w:t>Chapter 42</w:t>
      </w:r>
    </w:p>
    <w:p>
      <w:r>
        <w:t>A release requires code selftest, input validation, real-data pilot, recovery test, merge audit, output schema check and provenance archive.</w:t>
      </w:r>
    </w:p>
    <w:p>
      <w:pPr>
        <w:pStyle w:val="Heading2"/>
      </w:pPr>
      <w:r>
        <w:t>Implementation contract</w:t>
      </w:r>
    </w:p>
    <w:p>
      <w:r>
        <w:t>The phrase '100% complete' should only refer to a verified release state, not merely a progress percentage.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43. Appendix A - Configuration reference</w:t>
      </w:r>
    </w:p>
    <w:p>
      <w:pPr>
        <w:jc w:val="center"/>
      </w:pPr>
      <w:r>
        <w:rPr>
          <w:i/>
          <w:sz w:val="22"/>
        </w:rPr>
        <w:t>Chapter 43</w:t>
      </w:r>
    </w:p>
    <w:p>
      <w:r>
        <w:t>The scientific parameters should be frozen per release: period, chunking, level definitions, thresholds, histogram ranges, pairs and compression.</w:t>
      </w:r>
    </w:p>
    <w:p>
      <w:pPr>
        <w:pStyle w:val="Heading2"/>
      </w:pPr>
      <w:r>
        <w:t>Implementation contract</w:t>
      </w:r>
    </w:p>
    <w:p>
      <w:r>
        <w:t>Any scientific change requires a new schema/configuration fingerprint.</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44. Appendix B - Formula sheet</w:t>
      </w:r>
    </w:p>
    <w:p>
      <w:pPr>
        <w:jc w:val="center"/>
      </w:pPr>
      <w:r>
        <w:rPr>
          <w:i/>
          <w:sz w:val="22"/>
        </w:rPr>
        <w:t>Chapter 44</w:t>
      </w:r>
    </w:p>
    <w:p>
      <w:r>
        <w:t>All production formulas are listed in one place for audit and implementation review.</w:t>
      </w:r>
    </w:p>
    <w:p>
      <w:pPr>
        <w:pStyle w:val="Heading2"/>
      </w:pPr>
      <w:r>
        <w:t>Implementation contract</w:t>
      </w:r>
    </w:p>
    <w:p>
      <w:r>
        <w:t>The formula sheet should be used when independently reproducing calculations.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45. Appendix C - Data and output schema</w:t>
      </w:r>
    </w:p>
    <w:p>
      <w:pPr>
        <w:jc w:val="center"/>
      </w:pPr>
      <w:r>
        <w:rPr>
          <w:i/>
          <w:sz w:val="22"/>
        </w:rPr>
        <w:t>Chapter 45</w:t>
      </w:r>
    </w:p>
    <w:p>
      <w:r>
        <w:t>The data schema defines dimensions, variable names, units, fill semantics and metadata.</w:t>
      </w:r>
    </w:p>
    <w:p>
      <w:pPr>
        <w:pStyle w:val="Heading2"/>
      </w:pPr>
      <w:r>
        <w:t>Implementation contract</w:t>
      </w:r>
    </w:p>
    <w:p>
      <w:r>
        <w:t>Downstream tools should inspect output metadata rather than infer undocumented defaults.</w:t>
      </w:r>
    </w:p>
    <w:p>
      <w:pPr>
        <w:pStyle w:val="Heading2"/>
      </w:pPr>
      <w:r>
        <w:t>Operational checklist</w:t>
      </w:r>
    </w:p>
    <w:p>
      <w:pPr>
        <w:pStyle w:val="ListBullet"/>
      </w:pPr>
      <w:r>
        <w:t>Verify configuration fingerprint.</w:t>
      </w:r>
    </w:p>
    <w:p>
      <w:pPr>
        <w:pStyle w:val="ListBullet"/>
      </w:pPr>
      <w:r>
        <w:t>Verify input inventory and grid.</w:t>
      </w:r>
    </w:p>
    <w:p>
      <w:pPr>
        <w:pStyle w:val="ListBullet"/>
      </w:pPr>
      <w:r>
        <w:t>Verify sample support and masks.</w:t>
      </w:r>
    </w:p>
    <w:p>
      <w:pPr>
        <w:pStyle w:val="ListBullet"/>
      </w:pPr>
      <w:r>
        <w:t>Retain logs and hashes.</w:t>
      </w:r>
    </w:p>
    <w:p>
      <w:pPr>
        <w:pStyle w:val="ListBullet"/>
      </w:pPr>
      <w:r>
        <w:t>Do not infer unavailable quantities.</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46. Appendix D - Recommended analytical report</w:t>
      </w:r>
    </w:p>
    <w:p>
      <w:pPr>
        <w:jc w:val="center"/>
      </w:pPr>
      <w:r>
        <w:rPr>
          <w:i/>
          <w:sz w:val="22"/>
        </w:rPr>
        <w:t>Chapter 46</w:t>
      </w:r>
    </w:p>
    <w:p>
      <w:r>
        <w:t>The report should contain executive summary, decadal tables, annual cycle, diurnal cycle, maps, extremes, dependence, QC and provenance.</w:t>
      </w:r>
    </w:p>
    <w:p>
      <w:pPr>
        <w:pStyle w:val="Heading2"/>
      </w:pPr>
      <w:r>
        <w:t>Implementation contract</w:t>
      </w:r>
    </w:p>
    <w:p>
      <w:r>
        <w:t>The same report should be regenerable from frozen output files without changing the science.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47. Appendix E - Example research workflow</w:t>
      </w:r>
    </w:p>
    <w:p>
      <w:pPr>
        <w:jc w:val="center"/>
      </w:pPr>
      <w:r>
        <w:rPr>
          <w:i/>
          <w:sz w:val="22"/>
        </w:rPr>
        <w:t>Chapter 47</w:t>
      </w:r>
    </w:p>
    <w:p>
      <w:r>
        <w:t>Start with a few cells, inspect empirical behavior, validate statistics, then scale to the full grid.</w:t>
      </w:r>
    </w:p>
    <w:p>
      <w:pPr>
        <w:pStyle w:val="Heading2"/>
      </w:pPr>
      <w:r>
        <w:t>Implementation contract</w:t>
      </w:r>
    </w:p>
    <w:p>
      <w:r>
        <w:t>This staged workflow reduces the risk of discovering a conceptual issue after a multi-day production run.</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r>
        <w:br w:type="page"/>
      </w:r>
    </w:p>
    <w:p>
      <w:pPr>
        <w:jc w:val="center"/>
      </w:pPr>
      <w:r>
        <w:rPr>
          <w:b/>
          <w:sz w:val="46"/>
        </w:rPr>
        <w:t>48. Final scientific position</w:t>
      </w:r>
    </w:p>
    <w:p>
      <w:pPr>
        <w:jc w:val="center"/>
      </w:pPr>
      <w:r>
        <w:rPr>
          <w:i/>
          <w:sz w:val="22"/>
        </w:rPr>
        <w:t>Chapter 48</w:t>
      </w:r>
    </w:p>
    <w:p>
      <w:r>
        <w:t>v11.5 is best understood as an empirical moisture-climatology and climate-distribution engine, not a forecast model or causal attribution system.</w:t>
      </w:r>
    </w:p>
    <w:p>
      <w:pPr>
        <w:pStyle w:val="Heading2"/>
      </w:pPr>
      <w:r>
        <w:t>Implementation contract</w:t>
      </w:r>
    </w:p>
    <w:p>
      <w:r>
        <w:t>Its strength is transparent observation-level processing, rich aggregation, restartability and auditable comparison across time and space.</w:t>
      </w:r>
    </w:p>
    <w:p>
      <w:pPr>
        <w:pStyle w:val="Heading2"/>
      </w:pPr>
      <w:r>
        <w:t>Key rules</w:t>
      </w:r>
    </w:p>
    <w:p>
      <w:pPr>
        <w:pStyle w:val="ListBullet"/>
      </w:pPr>
      <w:r>
        <w:t>Do not silently change the scientific definition while optimizing I/O.</w:t>
      </w:r>
    </w:p>
    <w:p>
      <w:pPr>
        <w:pStyle w:val="ListBullet"/>
      </w:pPr>
      <w:r>
        <w:t>Treat COMMITTED state as the authoritative completion state.</w:t>
      </w:r>
    </w:p>
    <w:p>
      <w:pPr>
        <w:pStyle w:val="ListBullet"/>
      </w:pPr>
      <w:r>
        <w:t>Keep version, schema and executed configuration visible in outputs.</w:t>
      </w:r>
    </w:p>
    <w:p>
      <w:pPr>
        <w:pStyle w:val="Title"/>
      </w:pPr>
      <w:r>
        <w:t>Master release checklist</w:t>
      </w:r>
    </w:p>
    <w:p>
      <w:pPr>
        <w:pStyle w:val="ListBullet"/>
      </w:pPr>
      <w:r>
        <w:t>Source file compiles in the target environment.</w:t>
      </w:r>
    </w:p>
    <w:p>
      <w:pPr>
        <w:pStyle w:val="ListBullet"/>
      </w:pPr>
      <w:r>
        <w:t>Self-test passes.</w:t>
      </w:r>
    </w:p>
    <w:p>
      <w:pPr>
        <w:pStyle w:val="ListBullet"/>
      </w:pPr>
      <w:r>
        <w:t>Input inventory is complete for the requested years.</w:t>
      </w:r>
    </w:p>
    <w:p>
      <w:pPr>
        <w:pStyle w:val="ListBullet"/>
      </w:pPr>
      <w:r>
        <w:t>All three input grids match exactly.</w:t>
      </w:r>
    </w:p>
    <w:p>
      <w:pPr>
        <w:pStyle w:val="ListBullet"/>
      </w:pPr>
      <w:r>
        <w:t>Calendar tests pass.</w:t>
      </w:r>
    </w:p>
    <w:p>
      <w:pPr>
        <w:pStyle w:val="ListBullet"/>
      </w:pPr>
      <w:r>
        <w:t>Thermodynamic scalar reference tests pass.</w:t>
      </w:r>
    </w:p>
    <w:p>
      <w:pPr>
        <w:pStyle w:val="ListBullet"/>
      </w:pPr>
      <w:r>
        <w:t>Online moments agree with trusted batch calculations.</w:t>
      </w:r>
    </w:p>
    <w:p>
      <w:pPr>
        <w:pStyle w:val="ListBullet"/>
      </w:pPr>
      <w:r>
        <w:t>Merge equivalence passes.</w:t>
      </w:r>
    </w:p>
    <w:p>
      <w:pPr>
        <w:pStyle w:val="ListBullet"/>
      </w:pPr>
      <w:r>
        <w:t>Paired covariance and correlation use pair-specific masks.</w:t>
      </w:r>
    </w:p>
    <w:p>
      <w:pPr>
        <w:pStyle w:val="ListBullet"/>
      </w:pPr>
      <w:r>
        <w:t>Minimum and maximum are populated and sane.</w:t>
      </w:r>
    </w:p>
    <w:p>
      <w:pPr>
        <w:pStyle w:val="ListBullet"/>
      </w:pPr>
      <w:r>
        <w:t>Threshold and joint-threshold counts are bounded by support.</w:t>
      </w:r>
    </w:p>
    <w:p>
      <w:pPr>
        <w:pStyle w:val="ListBullet"/>
      </w:pPr>
      <w:r>
        <w:t>RH-q histogram count sum agrees with valid-pair support.</w:t>
      </w:r>
    </w:p>
    <w:p>
      <w:pPr>
        <w:pStyle w:val="ListBullet"/>
      </w:pPr>
      <w:r>
        <w:t>Power-loss fault injection shows uninterrupted and recovered results agree.</w:t>
      </w:r>
    </w:p>
    <w:p>
      <w:pPr>
        <w:pStyle w:val="ListBullet"/>
      </w:pPr>
      <w:r>
        <w:t>Four decade states exist.</w:t>
      </w:r>
    </w:p>
    <w:p>
      <w:pPr>
        <w:pStyle w:val="ListBullet"/>
      </w:pPr>
      <w:r>
        <w:t>FULL state exists.</w:t>
      </w:r>
    </w:p>
    <w:p>
      <w:pPr>
        <w:pStyle w:val="ListBullet"/>
      </w:pPr>
      <w:r>
        <w:t>FULL matches four-decade merge within declared tolerance.</w:t>
      </w:r>
    </w:p>
    <w:p>
      <w:pPr>
        <w:pStyle w:val="ListBullet"/>
      </w:pPr>
      <w:r>
        <w:t>NetCDF outputs open and metadata are complete.</w:t>
      </w:r>
    </w:p>
    <w:p>
      <w:pPr>
        <w:pStyle w:val="ListBullet"/>
      </w:pPr>
      <w:r>
        <w:t>Run manifest and hashes are archived.</w:t>
      </w:r>
    </w:p>
    <w:p>
      <w:pPr>
        <w:pStyle w:val="ListBullet"/>
      </w:pPr>
      <w:r>
        <w:t>Analytical comparison report is reproducible.</w:t>
      </w:r>
    </w:p>
    <w:p>
      <w:r>
        <w:br w:type="page"/>
      </w:r>
    </w:p>
    <w:p>
      <w:pPr>
        <w:pStyle w:val="Title"/>
      </w:pPr>
      <w:r>
        <w:t>Core-v11.5 versus analytical companion tools</w:t>
      </w:r>
    </w:p>
    <w:p>
      <w:r>
        <w:t>A production repository is easier to trust when the primary calculation engine and expensive exploratory analysis are separated. The v11.5 core file is the authoritative accumulation engine. Companion scripts may consume its frozen outputs to perform five-day distribution fitting, alternative copula diagnostics, bivariate dominance visualization, and decadal comparison.</w:t>
      </w:r>
    </w:p>
    <w:p>
      <w:pPr>
        <w:pStyle w:val="Heading1"/>
      </w:pPr>
      <w:r>
        <w:t>Authoritative core responsibilities</w:t>
      </w:r>
    </w:p>
    <w:p>
      <w:pPr>
        <w:pStyle w:val="ListBullet"/>
      </w:pPr>
      <w:r>
        <w:t>Read and validate the three primary ERA5-Land input families.</w:t>
      </w:r>
    </w:p>
    <w:p>
      <w:pPr>
        <w:pStyle w:val="ListBullet"/>
      </w:pPr>
      <w:r>
        <w:t>Derive RH, e, r and q.</w:t>
      </w:r>
    </w:p>
    <w:p>
      <w:pPr>
        <w:pStyle w:val="ListBullet"/>
      </w:pPr>
      <w:r>
        <w:t>Accumulate L1/L2/L3 states.</w:t>
      </w:r>
    </w:p>
    <w:p>
      <w:pPr>
        <w:pStyle w:val="ListBullet"/>
      </w:pPr>
      <w:r>
        <w:t>Persist exact moments, extrema, counts and thresholds.</w:t>
      </w:r>
    </w:p>
    <w:p>
      <w:pPr>
        <w:pStyle w:val="ListBullet"/>
      </w:pPr>
      <w:r>
        <w:t>Persist pairwise dependence state.</w:t>
      </w:r>
    </w:p>
    <w:p>
      <w:pPr>
        <w:pStyle w:val="ListBullet"/>
      </w:pPr>
      <w:r>
        <w:t>Persist the configured empirical RH-q histogram.</w:t>
      </w:r>
    </w:p>
    <w:p>
      <w:pPr>
        <w:pStyle w:val="ListBullet"/>
      </w:pPr>
      <w:r>
        <w:t>Maintain four decade products and FULL_1981-2020.</w:t>
      </w:r>
    </w:p>
    <w:p>
      <w:pPr>
        <w:pStyle w:val="ListBullet"/>
      </w:pPr>
      <w:r>
        <w:t>Provide transaction journal, before-image recovery and commit truth.</w:t>
      </w:r>
    </w:p>
    <w:p>
      <w:pPr>
        <w:pStyle w:val="ListBullet"/>
      </w:pPr>
      <w:r>
        <w:t>Finalize auditable NetCDF products.</w:t>
      </w:r>
    </w:p>
    <w:p>
      <w:pPr>
        <w:pStyle w:val="Heading1"/>
      </w:pPr>
      <w:r>
        <w:t>Companion analytical responsibilities</w:t>
      </w:r>
    </w:p>
    <w:p>
      <w:pPr>
        <w:pStyle w:val="ListBullet"/>
      </w:pPr>
      <w:r>
        <w:t>Five-day centered local distribution fitting and station queries.</w:t>
      </w:r>
    </w:p>
    <w:p>
      <w:pPr>
        <w:pStyle w:val="ListBullet"/>
      </w:pPr>
      <w:r>
        <w:t>Alternative marginal distribution comparison.</w:t>
      </w:r>
    </w:p>
    <w:p>
      <w:pPr>
        <w:pStyle w:val="ListBullet"/>
      </w:pPr>
      <w:r>
        <w:t>Alternative copula-family diagnostics.</w:t>
      </w:r>
    </w:p>
    <w:p>
      <w:pPr>
        <w:pStyle w:val="ListBullet"/>
      </w:pPr>
      <w:r>
        <w:t>Bivariate dominance maps.</w:t>
      </w:r>
    </w:p>
    <w:p>
      <w:pPr>
        <w:pStyle w:val="ListBullet"/>
      </w:pPr>
      <w:r>
        <w:t>Decadal/spatial/seasonal comparison dashboards.</w:t>
      </w:r>
    </w:p>
    <w:p>
      <w:pPr>
        <w:pStyle w:val="ListBullet"/>
      </w:pPr>
      <w:r>
        <w:t>Publication-ready PDF/HTML reports.</w:t>
      </w:r>
    </w:p>
    <w:p>
      <w:pPr>
        <w:pStyle w:val="Heading1"/>
      </w:pPr>
      <w:r>
        <w:t>Why this separation matters</w:t>
      </w:r>
    </w:p>
    <w:p>
      <w:r>
        <w:t>The primary climatology remains reproducible even when an analytical model family changes. A model-selection result can therefore be regenerated from frozen output files without recalculating 40 years of raw ERA5-Land input.</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HumidClimatologyEngine v11.5.0 | Scientific &amp;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