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HumidClimatologyEngine v11.5</w:t>
      </w:r>
    </w:p>
    <w:p>
      <w:pPr>
        <w:jc w:val="center"/>
      </w:pPr>
      <w:r>
        <w:rPr>
          <w:b/>
          <w:color w:val="2F5597"/>
          <w:sz w:val="30"/>
        </w:rPr>
        <w:t>User Guide and Production Runbook</w:t>
      </w:r>
    </w:p>
    <w:p>
      <w:pPr>
        <w:jc w:val="center"/>
      </w:pPr>
      <w:r>
        <w:rPr>
          <w:i/>
        </w:rPr>
        <w:t>Public release baseline • Scientific and operational reference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8"/>
              </w:rPr>
              <w:t>Item</w:t>
            </w:r>
          </w:p>
        </w:tc>
        <w:tc>
          <w:tcPr>
            <w:tcW w:type="dxa" w:w="5040"/>
            <w:vAlign w:val="center"/>
            <w:shd w:fill="17365D"/>
          </w:tcPr>
          <w:p>
            <w:r/>
            <w:r>
              <w:rPr>
                <w:rFonts w:ascii="Aptos" w:hAnsi="Aptos"/>
                <w:b/>
                <w:color w:val="FFFFFF"/>
                <w:sz w:val="18"/>
              </w:rPr>
              <w:t>Value</w:t>
            </w:r>
          </w:p>
        </w:tc>
      </w:tr>
      <w:tr>
        <w:tc>
          <w:tcPr>
            <w:tcW w:type="dxa" w:w="5040"/>
            <w:vAlign w:val="center"/>
          </w:tcPr>
          <w:p>
            <w:r/>
            <w:r>
              <w:rPr>
                <w:rFonts w:ascii="Aptos" w:hAnsi="Aptos"/>
                <w:b w:val="0"/>
                <w:color w:val="000000"/>
                <w:sz w:val="18"/>
              </w:rPr>
              <w:t>Software</w:t>
            </w:r>
          </w:p>
        </w:tc>
        <w:tc>
          <w:tcPr>
            <w:tcW w:type="dxa" w:w="5040"/>
            <w:vAlign w:val="center"/>
          </w:tcPr>
          <w:p>
            <w:r/>
            <w:r>
              <w:rPr>
                <w:rFonts w:ascii="Aptos" w:hAnsi="Aptos"/>
                <w:b w:val="0"/>
                <w:color w:val="000000"/>
                <w:sz w:val="18"/>
              </w:rPr>
              <w:t>HumidClimatologyEngine</w:t>
            </w:r>
          </w:p>
        </w:tc>
      </w:tr>
      <w:tr>
        <w:tc>
          <w:tcPr>
            <w:tcW w:type="dxa" w:w="5040"/>
            <w:vAlign w:val="center"/>
          </w:tcPr>
          <w:p>
            <w:r/>
            <w:r>
              <w:rPr>
                <w:rFonts w:ascii="Aptos" w:hAnsi="Aptos"/>
                <w:b w:val="0"/>
                <w:color w:val="000000"/>
                <w:sz w:val="18"/>
              </w:rPr>
              <w:t>Public release version</w:t>
            </w:r>
          </w:p>
        </w:tc>
        <w:tc>
          <w:tcPr>
            <w:tcW w:type="dxa" w:w="5040"/>
            <w:vAlign w:val="center"/>
          </w:tcPr>
          <w:p>
            <w:r/>
            <w:r>
              <w:rPr>
                <w:rFonts w:ascii="Aptos" w:hAnsi="Aptos"/>
                <w:b w:val="0"/>
                <w:color w:val="000000"/>
                <w:sz w:val="18"/>
              </w:rPr>
              <w:t>v11.5</w:t>
            </w:r>
          </w:p>
        </w:tc>
      </w:tr>
      <w:tr>
        <w:tc>
          <w:tcPr>
            <w:tcW w:type="dxa" w:w="5040"/>
            <w:vAlign w:val="center"/>
          </w:tcPr>
          <w:p>
            <w:r/>
            <w:r>
              <w:rPr>
                <w:rFonts w:ascii="Aptos" w:hAnsi="Aptos"/>
                <w:b w:val="0"/>
                <w:color w:val="000000"/>
                <w:sz w:val="18"/>
              </w:rPr>
              <w:t>Primary role</w:t>
            </w:r>
          </w:p>
        </w:tc>
        <w:tc>
          <w:tcPr>
            <w:tcW w:type="dxa" w:w="5040"/>
            <w:vAlign w:val="center"/>
          </w:tcPr>
          <w:p>
            <w:r/>
            <w:r>
              <w:rPr>
                <w:rFonts w:ascii="Aptos" w:hAnsi="Aptos"/>
                <w:b w:val="0"/>
                <w:color w:val="000000"/>
                <w:sz w:val="18"/>
              </w:rPr>
              <w:t>Hourly empirical moisture-climatology accumulation engine</w:t>
            </w:r>
          </w:p>
        </w:tc>
      </w:tr>
      <w:tr>
        <w:tc>
          <w:tcPr>
            <w:tcW w:type="dxa" w:w="5040"/>
            <w:vAlign w:val="center"/>
          </w:tcPr>
          <w:p>
            <w:r/>
            <w:r>
              <w:rPr>
                <w:rFonts w:ascii="Aptos" w:hAnsi="Aptos"/>
                <w:b w:val="0"/>
                <w:color w:val="000000"/>
                <w:sz w:val="18"/>
              </w:rPr>
              <w:t>Primary inputs</w:t>
            </w:r>
          </w:p>
        </w:tc>
        <w:tc>
          <w:tcPr>
            <w:tcW w:type="dxa" w:w="5040"/>
            <w:vAlign w:val="center"/>
          </w:tcPr>
          <w:p>
            <w:r/>
            <w:r>
              <w:rPr>
                <w:rFonts w:ascii="Aptos" w:hAnsi="Aptos"/>
                <w:b w:val="0"/>
                <w:color w:val="000000"/>
                <w:sz w:val="18"/>
              </w:rPr>
              <w:t>ERA5-Land T2m, D2m, Surface Pressure</w:t>
            </w:r>
          </w:p>
        </w:tc>
      </w:tr>
      <w:tr>
        <w:tc>
          <w:tcPr>
            <w:tcW w:type="dxa" w:w="5040"/>
            <w:vAlign w:val="center"/>
          </w:tcPr>
          <w:p>
            <w:r/>
            <w:r>
              <w:rPr>
                <w:rFonts w:ascii="Aptos" w:hAnsi="Aptos"/>
                <w:b w:val="0"/>
                <w:color w:val="000000"/>
                <w:sz w:val="18"/>
              </w:rPr>
              <w:t>Production period</w:t>
            </w:r>
          </w:p>
        </w:tc>
        <w:tc>
          <w:tcPr>
            <w:tcW w:type="dxa" w:w="5040"/>
            <w:vAlign w:val="center"/>
          </w:tcPr>
          <w:p>
            <w:r/>
            <w:r>
              <w:rPr>
                <w:rFonts w:ascii="Aptos" w:hAnsi="Aptos"/>
                <w:b w:val="0"/>
                <w:color w:val="000000"/>
                <w:sz w:val="18"/>
              </w:rPr>
              <w:t>1981–2020</w:t>
            </w:r>
          </w:p>
        </w:tc>
      </w:tr>
      <w:tr>
        <w:tc>
          <w:tcPr>
            <w:tcW w:type="dxa" w:w="5040"/>
            <w:vAlign w:val="center"/>
          </w:tcPr>
          <w:p>
            <w:r/>
            <w:r>
              <w:rPr>
                <w:rFonts w:ascii="Aptos" w:hAnsi="Aptos"/>
                <w:b w:val="0"/>
                <w:color w:val="000000"/>
                <w:sz w:val="18"/>
              </w:rPr>
              <w:t>Temporal levels</w:t>
            </w:r>
          </w:p>
        </w:tc>
        <w:tc>
          <w:tcPr>
            <w:tcW w:type="dxa" w:w="5040"/>
            <w:vAlign w:val="center"/>
          </w:tcPr>
          <w:p>
            <w:r/>
            <w:r>
              <w:rPr>
                <w:rFonts w:ascii="Aptos" w:hAnsi="Aptos"/>
                <w:b w:val="0"/>
                <w:color w:val="000000"/>
                <w:sz w:val="18"/>
              </w:rPr>
              <w:t>L1 daily pooled; L2 eight 3-hour bins; L3 24 hourly bins</w:t>
            </w:r>
          </w:p>
        </w:tc>
      </w:tr>
      <w:tr>
        <w:tc>
          <w:tcPr>
            <w:tcW w:type="dxa" w:w="5040"/>
            <w:vAlign w:val="center"/>
          </w:tcPr>
          <w:p>
            <w:r/>
            <w:r>
              <w:rPr>
                <w:rFonts w:ascii="Aptos" w:hAnsi="Aptos"/>
                <w:b w:val="0"/>
                <w:color w:val="000000"/>
                <w:sz w:val="18"/>
              </w:rPr>
              <w:t>Combined temporal state</w:t>
            </w:r>
          </w:p>
        </w:tc>
        <w:tc>
          <w:tcPr>
            <w:tcW w:type="dxa" w:w="5040"/>
            <w:vAlign w:val="center"/>
          </w:tcPr>
          <w:p>
            <w:r/>
            <w:r>
              <w:rPr>
                <w:rFonts w:ascii="Aptos" w:hAnsi="Aptos"/>
                <w:b w:val="0"/>
                <w:color w:val="000000"/>
                <w:sz w:val="18"/>
              </w:rPr>
              <w:t>33 bins = 1 + 8 + 24</w:t>
            </w:r>
          </w:p>
        </w:tc>
      </w:tr>
      <w:tr>
        <w:tc>
          <w:tcPr>
            <w:tcW w:type="dxa" w:w="5040"/>
            <w:vAlign w:val="center"/>
          </w:tcPr>
          <w:p>
            <w:r/>
            <w:r>
              <w:rPr>
                <w:rFonts w:ascii="Aptos" w:hAnsi="Aptos"/>
                <w:b w:val="0"/>
                <w:color w:val="000000"/>
                <w:sz w:val="18"/>
              </w:rPr>
              <w:t>Primary empirical joint product</w:t>
            </w:r>
          </w:p>
        </w:tc>
        <w:tc>
          <w:tcPr>
            <w:tcW w:type="dxa" w:w="5040"/>
            <w:vAlign w:val="center"/>
          </w:tcPr>
          <w:p>
            <w:r/>
            <w:r>
              <w:rPr>
                <w:rFonts w:ascii="Aptos" w:hAnsi="Aptos"/>
                <w:b w:val="0"/>
                <w:color w:val="000000"/>
                <w:sz w:val="18"/>
              </w:rPr>
              <w:t>RH × q histogram</w:t>
            </w:r>
          </w:p>
        </w:tc>
      </w:tr>
    </w:tbl>
    <w:p/>
    <w:p>
      <w:pPr>
        <w:pStyle w:val="Callout"/>
      </w:pPr>
      <w:r>
        <w:t xml:space="preserve">Read this first: </w:t>
      </w:r>
      <w:r>
        <w:t>v11.5 is a research-grade accumulation engine, not a forecast model. Keep the raw ERA5-Land archive unchanged, validate inputs before production, and never mix v8 checkpoints with v11.5 checkpoints.</w:t>
      </w:r>
    </w:p>
    <w:p>
      <w:pPr>
        <w:pStyle w:val="Heading1"/>
      </w:pPr>
      <w:r>
        <w:t>1. Scope and release contract</w:t>
      </w:r>
    </w:p>
    <w:p>
      <w:r>
        <w:t>This runbook describes how to install, validate, pilot, execute, monitor, recover, audit, and archive HumidClimatologyEngine v11.5. The public scientific baseline is v11.5; the procedures below are written so that a production run can be reproduced from the same code, configuration, input archive, and output state.</w:t>
      </w:r>
    </w:p>
    <w:p>
      <w:pPr>
        <w:pStyle w:val="ListBullet"/>
        <w:spacing w:after="40"/>
      </w:pPr>
      <w:r>
        <w:t>Scientific inputs remain the existing ERA5-Land monthly NetCDF families used by the project.</w:t>
      </w:r>
    </w:p>
    <w:p>
      <w:pPr>
        <w:pStyle w:val="ListBullet"/>
        <w:spacing w:after="40"/>
      </w:pPr>
      <w:r>
        <w:t>The calculation engine accumulates hourly observations directly into L1/L2/L3 state rather than reducing the day to one daily sample.</w:t>
      </w:r>
    </w:p>
    <w:p>
      <w:pPr>
        <w:pStyle w:val="ListBullet"/>
        <w:spacing w:after="40"/>
      </w:pPr>
      <w:r>
        <w:t>Persistent state stores counts, moments through fourth order, extrema, missing counts, threshold counters, paired-dependence state, and the configured empirical RH-q histogram.</w:t>
      </w:r>
    </w:p>
    <w:p>
      <w:pPr>
        <w:pStyle w:val="ListBullet"/>
        <w:spacing w:after="40"/>
      </w:pPr>
      <w:r>
        <w:t>Four decade products and FULL_1981_2020 are the main period-level outputs; FULL is also checked against an independent merge of the four decade states.</w:t>
      </w:r>
    </w:p>
    <w:p>
      <w:pPr>
        <w:pStyle w:val="Heading1"/>
      </w:pPr>
      <w:r>
        <w:t>2. Required environment</w:t>
      </w:r>
    </w:p>
    <w:p>
      <w:r>
        <w:t>The tested user environment reported for the project is Windows with Python 3.12.13 in a conda environment. A compatible Python 3.11+ environment is sufficient provided the required packages are installed and netCDF4 can read the input archive.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8"/>
              </w:rPr>
              <w:t>Component</w:t>
            </w:r>
          </w:p>
        </w:tc>
        <w:tc>
          <w:tcPr>
            <w:tcW w:type="dxa" w:w="5040"/>
            <w:vAlign w:val="center"/>
            <w:shd w:fill="17365D"/>
          </w:tcPr>
          <w:p>
            <w:r/>
            <w:r>
              <w:rPr>
                <w:rFonts w:ascii="Aptos" w:hAnsi="Aptos"/>
                <w:b/>
                <w:color w:val="FFFFFF"/>
                <w:sz w:val="18"/>
              </w:rPr>
              <w:t>Expected / project value</w:t>
            </w:r>
          </w:p>
        </w:tc>
      </w:tr>
      <w:tr>
        <w:tc>
          <w:tcPr>
            <w:tcW w:type="dxa" w:w="5040"/>
            <w:vAlign w:val="center"/>
          </w:tcPr>
          <w:p>
            <w:r/>
            <w:r>
              <w:rPr>
                <w:rFonts w:ascii="Aptos" w:hAnsi="Aptos"/>
                <w:b w:val="0"/>
                <w:color w:val="000000"/>
                <w:sz w:val="18"/>
              </w:rPr>
              <w:t>Operating system</w:t>
            </w:r>
          </w:p>
        </w:tc>
        <w:tc>
          <w:tcPr>
            <w:tcW w:type="dxa" w:w="5040"/>
            <w:vAlign w:val="center"/>
          </w:tcPr>
          <w:p>
            <w:r/>
            <w:r>
              <w:rPr>
                <w:rFonts w:ascii="Aptos" w:hAnsi="Aptos"/>
                <w:b w:val="0"/>
                <w:color w:val="000000"/>
                <w:sz w:val="18"/>
              </w:rPr>
              <w:t>Windows</w:t>
            </w:r>
          </w:p>
        </w:tc>
      </w:tr>
      <w:tr>
        <w:tc>
          <w:tcPr>
            <w:tcW w:type="dxa" w:w="5040"/>
            <w:vAlign w:val="center"/>
          </w:tcPr>
          <w:p>
            <w:r/>
            <w:r>
              <w:rPr>
                <w:rFonts w:ascii="Aptos" w:hAnsi="Aptos"/>
                <w:b w:val="0"/>
                <w:color w:val="000000"/>
                <w:sz w:val="18"/>
              </w:rPr>
              <w:t>Python</w:t>
            </w:r>
          </w:p>
        </w:tc>
        <w:tc>
          <w:tcPr>
            <w:tcW w:type="dxa" w:w="5040"/>
            <w:vAlign w:val="center"/>
          </w:tcPr>
          <w:p>
            <w:r/>
            <w:r>
              <w:rPr>
                <w:rFonts w:ascii="Aptos" w:hAnsi="Aptos"/>
                <w:b w:val="0"/>
                <w:color w:val="000000"/>
                <w:sz w:val="18"/>
              </w:rPr>
              <w:t>3.11+; project test environment: 3.12.13</w:t>
            </w:r>
          </w:p>
        </w:tc>
      </w:tr>
      <w:tr>
        <w:tc>
          <w:tcPr>
            <w:tcW w:type="dxa" w:w="5040"/>
            <w:vAlign w:val="center"/>
          </w:tcPr>
          <w:p>
            <w:r/>
            <w:r>
              <w:rPr>
                <w:rFonts w:ascii="Aptos" w:hAnsi="Aptos"/>
                <w:b w:val="0"/>
                <w:color w:val="000000"/>
                <w:sz w:val="18"/>
              </w:rPr>
              <w:t>Numerical stack</w:t>
            </w:r>
          </w:p>
        </w:tc>
        <w:tc>
          <w:tcPr>
            <w:tcW w:type="dxa" w:w="5040"/>
            <w:vAlign w:val="center"/>
          </w:tcPr>
          <w:p>
            <w:r/>
            <w:r>
              <w:rPr>
                <w:rFonts w:ascii="Aptos" w:hAnsi="Aptos"/>
                <w:b w:val="0"/>
                <w:color w:val="000000"/>
                <w:sz w:val="18"/>
              </w:rPr>
              <w:t>NumPy</w:t>
            </w:r>
          </w:p>
        </w:tc>
      </w:tr>
      <w:tr>
        <w:tc>
          <w:tcPr>
            <w:tcW w:type="dxa" w:w="5040"/>
            <w:vAlign w:val="center"/>
          </w:tcPr>
          <w:p>
            <w:r/>
            <w:r>
              <w:rPr>
                <w:rFonts w:ascii="Aptos" w:hAnsi="Aptos"/>
                <w:b w:val="0"/>
                <w:color w:val="000000"/>
                <w:sz w:val="18"/>
              </w:rPr>
              <w:t>NetCDF access</w:t>
            </w:r>
          </w:p>
        </w:tc>
        <w:tc>
          <w:tcPr>
            <w:tcW w:type="dxa" w:w="5040"/>
            <w:vAlign w:val="center"/>
          </w:tcPr>
          <w:p>
            <w:r/>
            <w:r>
              <w:rPr>
                <w:rFonts w:ascii="Aptos" w:hAnsi="Aptos"/>
                <w:b w:val="0"/>
                <w:color w:val="000000"/>
                <w:sz w:val="18"/>
              </w:rPr>
              <w:t>netCDF4</w:t>
            </w:r>
          </w:p>
        </w:tc>
      </w:tr>
      <w:tr>
        <w:tc>
          <w:tcPr>
            <w:tcW w:type="dxa" w:w="5040"/>
            <w:vAlign w:val="center"/>
          </w:tcPr>
          <w:p>
            <w:r/>
            <w:r>
              <w:rPr>
                <w:rFonts w:ascii="Aptos" w:hAnsi="Aptos"/>
                <w:b w:val="0"/>
                <w:color w:val="000000"/>
                <w:sz w:val="18"/>
              </w:rPr>
              <w:t>Execution environment</w:t>
            </w:r>
          </w:p>
        </w:tc>
        <w:tc>
          <w:tcPr>
            <w:tcW w:type="dxa" w:w="5040"/>
            <w:vAlign w:val="center"/>
          </w:tcPr>
          <w:p>
            <w:r/>
            <w:r>
              <w:rPr>
                <w:rFonts w:ascii="Aptos" w:hAnsi="Aptos"/>
                <w:b w:val="0"/>
                <w:color w:val="000000"/>
                <w:sz w:val="18"/>
              </w:rPr>
              <w:t>Spyder / IPython or standard Python entry point</w:t>
            </w:r>
          </w:p>
        </w:tc>
      </w:tr>
      <w:tr>
        <w:tc>
          <w:tcPr>
            <w:tcW w:type="dxa" w:w="5040"/>
            <w:vAlign w:val="center"/>
          </w:tcPr>
          <w:p>
            <w:r/>
            <w:r>
              <w:rPr>
                <w:rFonts w:ascii="Aptos" w:hAnsi="Aptos"/>
                <w:b w:val="0"/>
                <w:color w:val="000000"/>
                <w:sz w:val="18"/>
              </w:rPr>
              <w:t>Source file</w:t>
            </w:r>
          </w:p>
        </w:tc>
        <w:tc>
          <w:tcPr>
            <w:tcW w:type="dxa" w:w="5040"/>
            <w:vAlign w:val="center"/>
          </w:tcPr>
          <w:p>
            <w:r/>
            <w:r>
              <w:rPr>
                <w:rFonts w:ascii="Aptos" w:hAnsi="Aptos"/>
                <w:b w:val="0"/>
                <w:color w:val="000000"/>
                <w:sz w:val="18"/>
              </w:rPr>
              <w:t>humid_climatology_engine_v11.5.py</w:t>
            </w:r>
          </w:p>
        </w:tc>
      </w:tr>
    </w:tbl>
    <w:p/>
    <w:p>
      <w:pPr>
        <w:pStyle w:val="Heading1"/>
      </w:pPr>
      <w:r>
        <w:t>3. Input archive and grid rules</w:t>
      </w:r>
    </w:p>
    <w:p>
      <w:r>
        <w:t>Do not rename, rewrite, regrid, or otherwise alter the scientific input archive as part of routine execution. The three input families are aligned to the T2m reference grid. A latitude reversal in D2m is an accepted axis normalization; it is not a scientific regridding operation.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8"/>
              </w:rPr>
              <w:t>Variable</w:t>
            </w:r>
          </w:p>
        </w:tc>
        <w:tc>
          <w:tcPr>
            <w:tcW w:type="dxa" w:w="5040"/>
            <w:vAlign w:val="center"/>
            <w:shd w:fill="17365D"/>
          </w:tcPr>
          <w:p>
            <w:r/>
            <w:r>
              <w:rPr>
                <w:rFonts w:ascii="Aptos" w:hAnsi="Aptos"/>
                <w:b/>
                <w:color w:val="FFFFFF"/>
                <w:sz w:val="18"/>
              </w:rPr>
              <w:t>Directory</w:t>
            </w:r>
          </w:p>
        </w:tc>
      </w:tr>
      <w:tr>
        <w:tc>
          <w:tcPr>
            <w:tcW w:type="dxa" w:w="5040"/>
            <w:vAlign w:val="center"/>
          </w:tcPr>
          <w:p>
            <w:r/>
            <w:r>
              <w:rPr>
                <w:rFonts w:ascii="Aptos" w:hAnsi="Aptos"/>
                <w:b w:val="0"/>
                <w:color w:val="000000"/>
                <w:sz w:val="18"/>
              </w:rPr>
              <w:t>T2m</w:t>
            </w:r>
          </w:p>
        </w:tc>
        <w:tc>
          <w:tcPr>
            <w:tcW w:type="dxa" w:w="5040"/>
            <w:vAlign w:val="center"/>
          </w:tcPr>
          <w:p>
            <w:r/>
            <w:r>
              <w:rPr>
                <w:rFonts w:ascii="Aptos" w:hAnsi="Aptos"/>
                <w:b w:val="0"/>
                <w:color w:val="000000"/>
                <w:sz w:val="18"/>
              </w:rPr>
              <w:t>F:\Kazemi\era5\land\T2m</w:t>
            </w:r>
          </w:p>
        </w:tc>
      </w:tr>
      <w:tr>
        <w:tc>
          <w:tcPr>
            <w:tcW w:type="dxa" w:w="5040"/>
            <w:vAlign w:val="center"/>
          </w:tcPr>
          <w:p>
            <w:r/>
            <w:r>
              <w:rPr>
                <w:rFonts w:ascii="Aptos" w:hAnsi="Aptos"/>
                <w:b w:val="0"/>
                <w:color w:val="000000"/>
                <w:sz w:val="18"/>
              </w:rPr>
              <w:t>D2m</w:t>
            </w:r>
          </w:p>
        </w:tc>
        <w:tc>
          <w:tcPr>
            <w:tcW w:type="dxa" w:w="5040"/>
            <w:vAlign w:val="center"/>
          </w:tcPr>
          <w:p>
            <w:r/>
            <w:r>
              <w:rPr>
                <w:rFonts w:ascii="Aptos" w:hAnsi="Aptos"/>
                <w:b w:val="0"/>
                <w:color w:val="000000"/>
                <w:sz w:val="18"/>
              </w:rPr>
              <w:t>F:\Kazemi\era5\land\Dew_Point_Temperature</w:t>
            </w:r>
          </w:p>
        </w:tc>
      </w:tr>
      <w:tr>
        <w:tc>
          <w:tcPr>
            <w:tcW w:type="dxa" w:w="5040"/>
            <w:vAlign w:val="center"/>
          </w:tcPr>
          <w:p>
            <w:r/>
            <w:r>
              <w:rPr>
                <w:rFonts w:ascii="Aptos" w:hAnsi="Aptos"/>
                <w:b w:val="0"/>
                <w:color w:val="000000"/>
                <w:sz w:val="18"/>
              </w:rPr>
              <w:t>SP</w:t>
            </w:r>
          </w:p>
        </w:tc>
        <w:tc>
          <w:tcPr>
            <w:tcW w:type="dxa" w:w="5040"/>
            <w:vAlign w:val="center"/>
          </w:tcPr>
          <w:p>
            <w:r/>
            <w:r>
              <w:rPr>
                <w:rFonts w:ascii="Aptos" w:hAnsi="Aptos"/>
                <w:b w:val="0"/>
                <w:color w:val="000000"/>
                <w:sz w:val="18"/>
              </w:rPr>
              <w:t>F:\Kazemi\era5\land\Surface_Pressure</w:t>
            </w:r>
          </w:p>
        </w:tc>
      </w:tr>
    </w:tbl>
    <w:p/>
    <w:p>
      <w:pPr>
        <w:pStyle w:val="ListBullet"/>
        <w:spacing w:after="40"/>
      </w:pPr>
      <w:r>
        <w:t>Expected grid in the validated example: 301 latitude points × 301 longitude points.</w:t>
      </w:r>
    </w:p>
    <w:p>
      <w:pPr>
        <w:pStyle w:val="ListBullet"/>
        <w:spacing w:after="40"/>
      </w:pPr>
      <w:r>
        <w:t>Expected coordinate contract: T2m is the reference; D2m may be latitude-reversed and is aligned to T2m.</w:t>
      </w:r>
    </w:p>
    <w:p>
      <w:pPr>
        <w:pStyle w:val="ListBullet"/>
        <w:spacing w:after="40"/>
      </w:pPr>
      <w:r>
        <w:t>Longitude coordinates must agree after normalization.</w:t>
      </w:r>
    </w:p>
    <w:p>
      <w:pPr>
        <w:pStyle w:val="ListBullet"/>
        <w:spacing w:after="40"/>
      </w:pPr>
      <w:r>
        <w:t>If a month is missing, malformed, or has a coordinate mismatch, stop and repair the input inventory before production.</w:t>
      </w:r>
    </w:p>
    <w:p>
      <w:pPr>
        <w:pStyle w:val="Heading1"/>
      </w:pPr>
      <w:r>
        <w:t>4. Command-line modes</w:t>
      </w:r>
    </w:p>
    <w:p>
      <w:r>
        <w:t>The v11.5 executable exposes seven operational modes. The standard production workflow uses them in a controlled sequence rather than jumping directly to run.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8"/>
              </w:rPr>
              <w:t>Command</w:t>
            </w:r>
          </w:p>
        </w:tc>
        <w:tc>
          <w:tcPr>
            <w:tcW w:type="dxa" w:w="5040"/>
            <w:vAlign w:val="center"/>
            <w:shd w:fill="17365D"/>
          </w:tcPr>
          <w:p>
            <w:r/>
            <w:r>
              <w:rPr>
                <w:rFonts w:ascii="Aptos" w:hAnsi="Aptos"/>
                <w:b/>
                <w:color w:val="FFFFFF"/>
                <w:sz w:val="18"/>
              </w:rPr>
              <w:t>Purpose</w:t>
            </w:r>
          </w:p>
        </w:tc>
      </w:tr>
      <w:tr>
        <w:tc>
          <w:tcPr>
            <w:tcW w:type="dxa" w:w="5040"/>
            <w:vAlign w:val="center"/>
          </w:tcPr>
          <w:p>
            <w:r/>
            <w:r>
              <w:rPr>
                <w:rFonts w:ascii="Aptos" w:hAnsi="Aptos"/>
                <w:b w:val="0"/>
                <w:color w:val="000000"/>
                <w:sz w:val="18"/>
              </w:rPr>
              <w:t>selftest</w:t>
            </w:r>
          </w:p>
        </w:tc>
        <w:tc>
          <w:tcPr>
            <w:tcW w:type="dxa" w:w="5040"/>
            <w:vAlign w:val="center"/>
          </w:tcPr>
          <w:p>
            <w:r/>
            <w:r>
              <w:rPr>
                <w:rFonts w:ascii="Aptos" w:hAnsi="Aptos"/>
                <w:b w:val="0"/>
                <w:color w:val="000000"/>
                <w:sz w:val="18"/>
              </w:rPr>
              <w:t>Deterministic unit/regression checks without using the full ERA5 archive.</w:t>
            </w:r>
          </w:p>
        </w:tc>
      </w:tr>
      <w:tr>
        <w:tc>
          <w:tcPr>
            <w:tcW w:type="dxa" w:w="5040"/>
            <w:vAlign w:val="center"/>
          </w:tcPr>
          <w:p>
            <w:r/>
            <w:r>
              <w:rPr>
                <w:rFonts w:ascii="Aptos" w:hAnsi="Aptos"/>
                <w:b w:val="0"/>
                <w:color w:val="000000"/>
                <w:sz w:val="18"/>
              </w:rPr>
              <w:t>validate-input</w:t>
            </w:r>
          </w:p>
        </w:tc>
        <w:tc>
          <w:tcPr>
            <w:tcW w:type="dxa" w:w="5040"/>
            <w:vAlign w:val="center"/>
          </w:tcPr>
          <w:p>
            <w:r/>
            <w:r>
              <w:rPr>
                <w:rFonts w:ascii="Aptos" w:hAnsi="Aptos"/>
                <w:b w:val="0"/>
                <w:color w:val="000000"/>
                <w:sz w:val="18"/>
              </w:rPr>
              <w:t>Validate the real input triplet for a target year.</w:t>
            </w:r>
          </w:p>
        </w:tc>
      </w:tr>
      <w:tr>
        <w:tc>
          <w:tcPr>
            <w:tcW w:type="dxa" w:w="5040"/>
            <w:vAlign w:val="center"/>
          </w:tcPr>
          <w:p>
            <w:r/>
            <w:r>
              <w:rPr>
                <w:rFonts w:ascii="Aptos" w:hAnsi="Aptos"/>
                <w:b w:val="0"/>
                <w:color w:val="000000"/>
                <w:sz w:val="18"/>
              </w:rPr>
              <w:t>pilot</w:t>
            </w:r>
          </w:p>
        </w:tc>
        <w:tc>
          <w:tcPr>
            <w:tcW w:type="dxa" w:w="5040"/>
            <w:vAlign w:val="center"/>
          </w:tcPr>
          <w:p>
            <w:r/>
            <w:r>
              <w:rPr>
                <w:rFonts w:ascii="Aptos" w:hAnsi="Aptos"/>
                <w:b w:val="0"/>
                <w:color w:val="000000"/>
                <w:sz w:val="18"/>
              </w:rPr>
              <w:t>Small real-data execution on the first spatial block; with a month and no explicit day, v11.5 processes the full calendar month.</w:t>
            </w:r>
          </w:p>
        </w:tc>
      </w:tr>
      <w:tr>
        <w:tc>
          <w:tcPr>
            <w:tcW w:type="dxa" w:w="5040"/>
            <w:vAlign w:val="center"/>
          </w:tcPr>
          <w:p>
            <w:r/>
            <w:r>
              <w:rPr>
                <w:rFonts w:ascii="Aptos" w:hAnsi="Aptos"/>
                <w:b w:val="0"/>
                <w:color w:val="000000"/>
                <w:sz w:val="18"/>
              </w:rPr>
              <w:t>run</w:t>
            </w:r>
          </w:p>
        </w:tc>
        <w:tc>
          <w:tcPr>
            <w:tcW w:type="dxa" w:w="5040"/>
            <w:vAlign w:val="center"/>
          </w:tcPr>
          <w:p>
            <w:r/>
            <w:r>
              <w:rPr>
                <w:rFonts w:ascii="Aptos" w:hAnsi="Aptos"/>
                <w:b w:val="0"/>
                <w:color w:val="000000"/>
                <w:sz w:val="18"/>
              </w:rPr>
              <w:t>Production 1981–2020 accumulation.</w:t>
            </w:r>
          </w:p>
        </w:tc>
      </w:tr>
      <w:tr>
        <w:tc>
          <w:tcPr>
            <w:tcW w:type="dxa" w:w="5040"/>
            <w:vAlign w:val="center"/>
          </w:tcPr>
          <w:p>
            <w:r/>
            <w:r>
              <w:rPr>
                <w:rFonts w:ascii="Aptos" w:hAnsi="Aptos"/>
                <w:b w:val="0"/>
                <w:color w:val="000000"/>
                <w:sz w:val="18"/>
              </w:rPr>
              <w:t>audit</w:t>
            </w:r>
          </w:p>
        </w:tc>
        <w:tc>
          <w:tcPr>
            <w:tcW w:type="dxa" w:w="5040"/>
            <w:vAlign w:val="center"/>
          </w:tcPr>
          <w:p>
            <w:r/>
            <w:r>
              <w:rPr>
                <w:rFonts w:ascii="Aptos" w:hAnsi="Aptos"/>
                <w:b w:val="0"/>
                <w:color w:val="000000"/>
                <w:sz w:val="18"/>
              </w:rPr>
              <w:t>Structural and invariance checks on finished outputs.</w:t>
            </w:r>
          </w:p>
        </w:tc>
      </w:tr>
      <w:tr>
        <w:tc>
          <w:tcPr>
            <w:tcW w:type="dxa" w:w="5040"/>
            <w:vAlign w:val="center"/>
          </w:tcPr>
          <w:p>
            <w:r/>
            <w:r>
              <w:rPr>
                <w:rFonts w:ascii="Aptos" w:hAnsi="Aptos"/>
                <w:b w:val="0"/>
                <w:color w:val="000000"/>
                <w:sz w:val="18"/>
              </w:rPr>
              <w:t>merge-audit</w:t>
            </w:r>
          </w:p>
        </w:tc>
        <w:tc>
          <w:tcPr>
            <w:tcW w:type="dxa" w:w="5040"/>
            <w:vAlign w:val="center"/>
          </w:tcPr>
          <w:p>
            <w:r/>
            <w:r>
              <w:rPr>
                <w:rFonts w:ascii="Aptos" w:hAnsi="Aptos"/>
                <w:b w:val="0"/>
                <w:color w:val="000000"/>
                <w:sz w:val="18"/>
              </w:rPr>
              <w:t>Independent four-decade merge check against FULL.</w:t>
            </w:r>
          </w:p>
        </w:tc>
      </w:tr>
      <w:tr>
        <w:tc>
          <w:tcPr>
            <w:tcW w:type="dxa" w:w="5040"/>
            <w:vAlign w:val="center"/>
          </w:tcPr>
          <w:p>
            <w:r/>
            <w:r>
              <w:rPr>
                <w:rFonts w:ascii="Aptos" w:hAnsi="Aptos"/>
                <w:b w:val="0"/>
                <w:color w:val="000000"/>
                <w:sz w:val="18"/>
              </w:rPr>
              <w:t>report</w:t>
            </w:r>
          </w:p>
        </w:tc>
        <w:tc>
          <w:tcPr>
            <w:tcW w:type="dxa" w:w="5040"/>
            <w:vAlign w:val="center"/>
          </w:tcPr>
          <w:p>
            <w:r/>
            <w:r>
              <w:rPr>
                <w:rFonts w:ascii="Aptos" w:hAnsi="Aptos"/>
                <w:b w:val="0"/>
                <w:color w:val="000000"/>
                <w:sz w:val="18"/>
              </w:rPr>
              <w:t>Invoke the configured reporting layer / report products.</w:t>
            </w:r>
          </w:p>
        </w:tc>
      </w:tr>
      <w:tr>
        <w:tc>
          <w:tcPr>
            <w:tcW w:type="dxa" w:w="5040"/>
            <w:vAlign w:val="center"/>
          </w:tcPr>
          <w:p>
            <w:r/>
            <w:r>
              <w:rPr>
                <w:rFonts w:ascii="Aptos" w:hAnsi="Aptos"/>
                <w:b w:val="0"/>
                <w:color w:val="000000"/>
                <w:sz w:val="18"/>
              </w:rPr>
              <w:t>benchmark</w:t>
            </w:r>
          </w:p>
        </w:tc>
        <w:tc>
          <w:tcPr>
            <w:tcW w:type="dxa" w:w="5040"/>
            <w:vAlign w:val="center"/>
          </w:tcPr>
          <w:p>
            <w:r/>
            <w:r>
              <w:rPr>
                <w:rFonts w:ascii="Aptos" w:hAnsi="Aptos"/>
                <w:b w:val="0"/>
                <w:color w:val="000000"/>
                <w:sz w:val="18"/>
              </w:rPr>
              <w:t>Measure the in-memory numerical hot path; not a disk/ERA5 benchmark.</w:t>
            </w:r>
          </w:p>
        </w:tc>
      </w:tr>
    </w:tbl>
    <w:p/>
    <w:p>
      <w:pPr>
        <w:pStyle w:val="Heading1"/>
      </w:pPr>
      <w:r>
        <w:t>5. Install / place the release</w:t>
      </w:r>
    </w:p>
    <w:p>
      <w:r>
        <w:t>Keep the public release code in a stable location. The working copy used in the recent project setup was placed under Downloads for testing, but a repository path is preferable for the final production launch.</w:t>
      </w:r>
    </w:p>
    <w:p>
      <w:pPr>
        <w:pStyle w:val="CodeBlock"/>
      </w:pPr>
      <w:r>
        <w:t>%runfile "C:/Users/AminFazlKazemi/Downloads/humid_climatology_engine_v11.5.py" --args "selftest"</w:t>
      </w:r>
    </w:p>
    <w:p>
      <w:r>
        <w:t>Run the self-test first. A PASS establishes the software-level regression checks; it does not prove that the external ERA5-Land archive is complete.</w:t>
      </w:r>
    </w:p>
    <w:p>
      <w:pPr>
        <w:pStyle w:val="Heading1"/>
      </w:pPr>
      <w:r>
        <w:t>6. Validate a real year before production</w:t>
      </w:r>
    </w:p>
    <w:p>
      <w:pPr>
        <w:pStyle w:val="CodeBlock"/>
      </w:pPr>
      <w:r>
        <w:t>%runfile "C:/Users/AminFazlKazemi/Downloads/humid_climatology_engine_v11.5.py" --args "validate-input --year 2011"</w:t>
      </w:r>
    </w:p>
    <w:p>
      <w:r>
        <w:t>A successful validation should report the T2m/D2m/SP inventory, grid alignment, and an explicit INPUT VALIDATION PASS. The project already demonstrated this behavior for 2011 after correcting the D2m latitude orientation.</w:t>
      </w:r>
    </w:p>
    <w:p>
      <w:pPr>
        <w:pStyle w:val="Heading1"/>
      </w:pPr>
      <w:r>
        <w:t>7. Pilot procedure</w:t>
      </w:r>
    </w:p>
    <w:p>
      <w:r>
        <w:t>Use a real-data pilot before the full run. The pilot uses the first spatial block and a bounded temporal slice. With no explicit day, specifying a month processes the entire calendar month. This is the preferred smoke test before production because it exercises the real thermodynamic transformations, state update, persistence, and checkpoint reopen path.</w:t>
      </w:r>
    </w:p>
    <w:p>
      <w:pPr>
        <w:pStyle w:val="CodeBlock"/>
      </w:pPr>
      <w:r>
        <w:t>%runfile "C:/Users/AminFazlKazemi/Downloads/humid_climatology_engine_v11.5.py" --args "pilot --year 2011 --month 1 --verbose"</w:t>
      </w:r>
    </w:p>
    <w:p>
      <w:pPr>
        <w:pStyle w:val="ListBullet"/>
        <w:spacing w:after="40"/>
      </w:pPr>
      <w:r>
        <w:t>Expected January 2011 result from the project test: 31/31 day transactions completed.</w:t>
      </w:r>
    </w:p>
    <w:p>
      <w:pPr>
        <w:pStyle w:val="ListBullet"/>
        <w:spacing w:after="40"/>
      </w:pPr>
      <w:r>
        <w:t>Expected checkpoint behavior: flush, reopen, and structural verification PASS.</w:t>
      </w:r>
    </w:p>
    <w:p>
      <w:pPr>
        <w:pStyle w:val="ListBullet"/>
        <w:spacing w:after="40"/>
      </w:pPr>
      <w:r>
        <w:t>Do not start two v11.5 pilot/production processes against the same output/checkpoint tree. The v11.5 public baseline is a single-writer production workspace.</w:t>
      </w:r>
    </w:p>
    <w:p>
      <w:pPr>
        <w:pStyle w:val="Heading1"/>
      </w:pPr>
      <w:r>
        <w:t>8. Production execution and monitoring</w:t>
      </w:r>
    </w:p>
    <w:p>
      <w:pPr>
        <w:pStyle w:val="CodeBlock"/>
      </w:pPr>
      <w:r>
        <w:t>%runfile "C:/Users/AminFazlKazemi/Downloads/humid_climatology_engine_v11.5.py" --args "run --verbose"</w:t>
      </w:r>
    </w:p>
    <w:p>
      <w:r>
        <w:t>The production run is intentionally resumable and journaled. Progress is written periodically with completed units, total units, percent, throughput, and ETA. Do not manually edit progress metadata to force advancement.</w:t>
      </w:r>
    </w:p>
    <w:p>
      <w:pPr>
        <w:pStyle w:val="ListBullet"/>
        <w:spacing w:after="40"/>
      </w:pPr>
      <w:r>
        <w:t>Keep the console/log open for the first several hours so that throughput and checkpoint behavior can be confirmed.</w:t>
      </w:r>
    </w:p>
    <w:p>
      <w:pPr>
        <w:pStyle w:val="ListBullet"/>
        <w:spacing w:after="40"/>
      </w:pPr>
      <w:r>
        <w:t>After a stable production interval is observed, the same command can continue unattended on a controlled machine.</w:t>
      </w:r>
    </w:p>
    <w:p>
      <w:pPr>
        <w:pStyle w:val="ListBullet"/>
        <w:spacing w:after="40"/>
      </w:pPr>
      <w:r>
        <w:t>Avoid placing active checkpoints on unstable or capacity-limited storage.</w:t>
      </w:r>
    </w:p>
    <w:p>
      <w:pPr>
        <w:pStyle w:val="Heading1"/>
      </w:pPr>
      <w:r>
        <w:t>9. Output structure and statistical products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8"/>
              </w:rPr>
              <w:t>Level / product</w:t>
            </w:r>
          </w:p>
        </w:tc>
        <w:tc>
          <w:tcPr>
            <w:tcW w:type="dxa" w:w="5040"/>
            <w:vAlign w:val="center"/>
            <w:shd w:fill="17365D"/>
          </w:tcPr>
          <w:p>
            <w:r/>
            <w:r>
              <w:rPr>
                <w:rFonts w:ascii="Aptos" w:hAnsi="Aptos"/>
                <w:b/>
                <w:color w:val="FFFFFF"/>
                <w:sz w:val="18"/>
              </w:rPr>
              <w:t>Content</w:t>
            </w:r>
          </w:p>
        </w:tc>
      </w:tr>
      <w:tr>
        <w:tc>
          <w:tcPr>
            <w:tcW w:type="dxa" w:w="5040"/>
            <w:vAlign w:val="center"/>
          </w:tcPr>
          <w:p>
            <w:r/>
            <w:r>
              <w:rPr>
                <w:rFonts w:ascii="Aptos" w:hAnsi="Aptos"/>
                <w:b w:val="0"/>
                <w:color w:val="000000"/>
                <w:sz w:val="18"/>
              </w:rPr>
              <w:t>L1</w:t>
            </w:r>
          </w:p>
        </w:tc>
        <w:tc>
          <w:tcPr>
            <w:tcW w:type="dxa" w:w="5040"/>
            <w:vAlign w:val="center"/>
          </w:tcPr>
          <w:p>
            <w:r/>
            <w:r>
              <w:rPr>
                <w:rFonts w:ascii="Aptos" w:hAnsi="Aptos"/>
                <w:b w:val="0"/>
                <w:color w:val="000000"/>
                <w:sz w:val="18"/>
              </w:rPr>
              <w:t>All valid hourly states pooled by climatological day.</w:t>
            </w:r>
          </w:p>
        </w:tc>
      </w:tr>
      <w:tr>
        <w:tc>
          <w:tcPr>
            <w:tcW w:type="dxa" w:w="5040"/>
            <w:vAlign w:val="center"/>
          </w:tcPr>
          <w:p>
            <w:r/>
            <w:r>
              <w:rPr>
                <w:rFonts w:ascii="Aptos" w:hAnsi="Aptos"/>
                <w:b w:val="0"/>
                <w:color w:val="000000"/>
                <w:sz w:val="18"/>
              </w:rPr>
              <w:t>L2</w:t>
            </w:r>
          </w:p>
        </w:tc>
        <w:tc>
          <w:tcPr>
            <w:tcW w:type="dxa" w:w="5040"/>
            <w:vAlign w:val="center"/>
          </w:tcPr>
          <w:p>
            <w:r/>
            <w:r>
              <w:rPr>
                <w:rFonts w:ascii="Aptos" w:hAnsi="Aptos"/>
                <w:b w:val="0"/>
                <w:color w:val="000000"/>
                <w:sz w:val="18"/>
              </w:rPr>
              <w:t>Eight 3-hour bins that preserve broad diurnal structure.</w:t>
            </w:r>
          </w:p>
        </w:tc>
      </w:tr>
      <w:tr>
        <w:tc>
          <w:tcPr>
            <w:tcW w:type="dxa" w:w="5040"/>
            <w:vAlign w:val="center"/>
          </w:tcPr>
          <w:p>
            <w:r/>
            <w:r>
              <w:rPr>
                <w:rFonts w:ascii="Aptos" w:hAnsi="Aptos"/>
                <w:b w:val="0"/>
                <w:color w:val="000000"/>
                <w:sz w:val="18"/>
              </w:rPr>
              <w:t>L3</w:t>
            </w:r>
          </w:p>
        </w:tc>
        <w:tc>
          <w:tcPr>
            <w:tcW w:type="dxa" w:w="5040"/>
            <w:vAlign w:val="center"/>
          </w:tcPr>
          <w:p>
            <w:r/>
            <w:r>
              <w:rPr>
                <w:rFonts w:ascii="Aptos" w:hAnsi="Aptos"/>
                <w:b w:val="0"/>
                <w:color w:val="000000"/>
                <w:sz w:val="18"/>
              </w:rPr>
              <w:t>Twenty-four hourly bins that preserve full diurnal structure.</w:t>
            </w:r>
          </w:p>
        </w:tc>
      </w:tr>
      <w:tr>
        <w:tc>
          <w:tcPr>
            <w:tcW w:type="dxa" w:w="5040"/>
            <w:vAlign w:val="center"/>
          </w:tcPr>
          <w:p>
            <w:r/>
            <w:r>
              <w:rPr>
                <w:rFonts w:ascii="Aptos" w:hAnsi="Aptos"/>
                <w:b w:val="0"/>
                <w:color w:val="000000"/>
                <w:sz w:val="18"/>
              </w:rPr>
              <w:t>33-bin state</w:t>
            </w:r>
          </w:p>
        </w:tc>
        <w:tc>
          <w:tcPr>
            <w:tcW w:type="dxa" w:w="5040"/>
            <w:vAlign w:val="center"/>
          </w:tcPr>
          <w:p>
            <w:r/>
            <w:r>
              <w:rPr>
                <w:rFonts w:ascii="Aptos" w:hAnsi="Aptos"/>
                <w:b w:val="0"/>
                <w:color w:val="000000"/>
                <w:sz w:val="18"/>
              </w:rPr>
              <w:t>1 L1 + 8 L2 + 24 L3.</w:t>
            </w:r>
          </w:p>
        </w:tc>
      </w:tr>
      <w:tr>
        <w:tc>
          <w:tcPr>
            <w:tcW w:type="dxa" w:w="5040"/>
            <w:vAlign w:val="center"/>
          </w:tcPr>
          <w:p>
            <w:r/>
            <w:r>
              <w:rPr>
                <w:rFonts w:ascii="Aptos" w:hAnsi="Aptos"/>
                <w:b w:val="0"/>
                <w:color w:val="000000"/>
                <w:sz w:val="18"/>
              </w:rPr>
              <w:t>Scalar statistics</w:t>
            </w:r>
          </w:p>
        </w:tc>
        <w:tc>
          <w:tcPr>
            <w:tcW w:type="dxa" w:w="5040"/>
            <w:vAlign w:val="center"/>
          </w:tcPr>
          <w:p>
            <w:r/>
            <w:r>
              <w:rPr>
                <w:rFonts w:ascii="Aptos" w:hAnsi="Aptos"/>
                <w:b w:val="0"/>
                <w:color w:val="000000"/>
                <w:sz w:val="18"/>
              </w:rPr>
              <w:t>n, mean, M2, M3, M4, min, max, missing counts, threshold counters.</w:t>
            </w:r>
          </w:p>
        </w:tc>
      </w:tr>
      <w:tr>
        <w:tc>
          <w:tcPr>
            <w:tcW w:type="dxa" w:w="5040"/>
            <w:vAlign w:val="center"/>
          </w:tcPr>
          <w:p>
            <w:r/>
            <w:r>
              <w:rPr>
                <w:rFonts w:ascii="Aptos" w:hAnsi="Aptos"/>
                <w:b w:val="0"/>
                <w:color w:val="000000"/>
                <w:sz w:val="18"/>
              </w:rPr>
              <w:t>Paired state</w:t>
            </w:r>
          </w:p>
        </w:tc>
        <w:tc>
          <w:tcPr>
            <w:tcW w:type="dxa" w:w="5040"/>
            <w:vAlign w:val="center"/>
          </w:tcPr>
          <w:p>
            <w:r/>
            <w:r>
              <w:rPr>
                <w:rFonts w:ascii="Aptos" w:hAnsi="Aptos"/>
                <w:b w:val="0"/>
                <w:color w:val="000000"/>
                <w:sz w:val="18"/>
              </w:rPr>
              <w:t>Pair-specific n, means, second-moment terms, covariance/correlation state.</w:t>
            </w:r>
          </w:p>
        </w:tc>
      </w:tr>
      <w:tr>
        <w:tc>
          <w:tcPr>
            <w:tcW w:type="dxa" w:w="5040"/>
            <w:vAlign w:val="center"/>
          </w:tcPr>
          <w:p>
            <w:r/>
            <w:r>
              <w:rPr>
                <w:rFonts w:ascii="Aptos" w:hAnsi="Aptos"/>
                <w:b w:val="0"/>
                <w:color w:val="000000"/>
                <w:sz w:val="18"/>
              </w:rPr>
              <w:t>Empirical joint reference</w:t>
            </w:r>
          </w:p>
        </w:tc>
        <w:tc>
          <w:tcPr>
            <w:tcW w:type="dxa" w:w="5040"/>
            <w:vAlign w:val="center"/>
          </w:tcPr>
          <w:p>
            <w:r/>
            <w:r>
              <w:rPr>
                <w:rFonts w:ascii="Aptos" w:hAnsi="Aptos"/>
                <w:b w:val="0"/>
                <w:color w:val="000000"/>
                <w:sz w:val="18"/>
              </w:rPr>
              <w:t>RH × q histogram; default range RH 0–130%, q 0–0.030, 8×8 bins.</w:t>
            </w:r>
          </w:p>
        </w:tc>
      </w:tr>
      <w:tr>
        <w:tc>
          <w:tcPr>
            <w:tcW w:type="dxa" w:w="5040"/>
            <w:vAlign w:val="center"/>
          </w:tcPr>
          <w:p>
            <w:r/>
            <w:r>
              <w:rPr>
                <w:rFonts w:ascii="Aptos" w:hAnsi="Aptos"/>
                <w:b w:val="0"/>
                <w:color w:val="000000"/>
                <w:sz w:val="18"/>
              </w:rPr>
              <w:t>Histogram level storage</w:t>
            </w:r>
          </w:p>
        </w:tc>
        <w:tc>
          <w:tcPr>
            <w:tcW w:type="dxa" w:w="5040"/>
            <w:vAlign w:val="center"/>
          </w:tcPr>
          <w:p>
            <w:r/>
            <w:r>
              <w:rPr>
                <w:rFonts w:ascii="Aptos" w:hAnsi="Aptos"/>
                <w:b w:val="0"/>
                <w:color w:val="000000"/>
                <w:sz w:val="18"/>
              </w:rPr>
              <w:t>L1 and L2 by default; L3 histograms are not stored by default.</w:t>
            </w:r>
          </w:p>
        </w:tc>
      </w:tr>
      <w:tr>
        <w:tc>
          <w:tcPr>
            <w:tcW w:type="dxa" w:w="5040"/>
            <w:vAlign w:val="center"/>
          </w:tcPr>
          <w:p>
            <w:r/>
            <w:r>
              <w:rPr>
                <w:rFonts w:ascii="Aptos" w:hAnsi="Aptos"/>
                <w:b w:val="0"/>
                <w:color w:val="000000"/>
                <w:sz w:val="18"/>
              </w:rPr>
              <w:t>Periods</w:t>
            </w:r>
          </w:p>
        </w:tc>
        <w:tc>
          <w:tcPr>
            <w:tcW w:type="dxa" w:w="5040"/>
            <w:vAlign w:val="center"/>
          </w:tcPr>
          <w:p>
            <w:r/>
            <w:r>
              <w:rPr>
                <w:rFonts w:ascii="Aptos" w:hAnsi="Aptos"/>
                <w:b w:val="0"/>
                <w:color w:val="000000"/>
                <w:sz w:val="18"/>
              </w:rPr>
              <w:t>Four decade states plus FULL_1981_2020.</w:t>
            </w:r>
          </w:p>
        </w:tc>
      </w:tr>
    </w:tbl>
    <w:p/>
    <w:p>
      <w:pPr>
        <w:pStyle w:val="Heading1"/>
      </w:pPr>
      <w:r>
        <w:t>10. Scientific interpretation rules</w:t>
      </w:r>
    </w:p>
    <w:p>
      <w:pPr>
        <w:pStyle w:val="ListBullet"/>
        <w:spacing w:after="40"/>
      </w:pPr>
      <w:r>
        <w:t>RH reporting may be bounded for presentation, but supersaturation is tracked separately rather than silently discarded.</w:t>
      </w:r>
    </w:p>
    <w:p>
      <w:pPr>
        <w:pStyle w:val="ListBullet"/>
        <w:spacing w:after="40"/>
      </w:pPr>
      <w:r>
        <w:t>Invalid e ≥ P states are not converted into valid mixing ratio or specific humidity values.</w:t>
      </w:r>
    </w:p>
    <w:p>
      <w:pPr>
        <w:pStyle w:val="ListBullet"/>
        <w:spacing w:after="40"/>
      </w:pPr>
      <w:r>
        <w:t>Paired correlation and covariance use pair-specific valid masks; do not compare them with marginal n without checking support.</w:t>
      </w:r>
    </w:p>
    <w:p>
      <w:pPr>
        <w:pStyle w:val="ListBullet"/>
        <w:spacing w:after="40"/>
      </w:pPr>
      <w:r>
        <w:t>An empirical histogram is an observed joint reference, not a fitted parametric PDF.</w:t>
      </w:r>
    </w:p>
    <w:p>
      <w:pPr>
        <w:pStyle w:val="ListBullet"/>
        <w:spacing w:after="40"/>
      </w:pPr>
      <w:r>
        <w:t>Decadal differences are descriptive until sampling uncertainty and inferential assumptions are evaluated.</w:t>
      </w:r>
    </w:p>
    <w:p>
      <w:pPr>
        <w:pStyle w:val="Heading1"/>
      </w:pPr>
      <w:r>
        <w:t>11. Checkpoint, transaction, and recovery procedure</w:t>
      </w:r>
    </w:p>
    <w:p>
      <w:r>
        <w:t>The persistent-state contract is prepare → verify → commit. Before-image information and the journal are part of recovery. The authoritative completion state is COMMITTED, not an edited progress counter.</w:t>
      </w:r>
    </w:p>
    <w:p>
      <w:r>
        <w:t>After a power failure, forced shutdown, or interrupted session:</w:t>
      </w:r>
    </w:p>
    <w:p>
      <w:pPr>
        <w:pStyle w:val="ListBullet"/>
        <w:spacing w:after="40"/>
      </w:pPr>
      <w:r>
        <w:t>Do not delete checkpoint files.</w:t>
      </w:r>
    </w:p>
    <w:p>
      <w:pPr>
        <w:pStyle w:val="ListBullet"/>
        <w:spacing w:after="40"/>
      </w:pPr>
      <w:r>
        <w:t>Do not delete or rewrite the transaction journal.</w:t>
      </w:r>
    </w:p>
    <w:p>
      <w:pPr>
        <w:pStyle w:val="ListBullet"/>
        <w:spacing w:after="40"/>
      </w:pPr>
      <w:r>
        <w:t>Do not manually mark a day/block complete.</w:t>
      </w:r>
    </w:p>
    <w:p>
      <w:pPr>
        <w:pStyle w:val="ListBullet"/>
        <w:spacing w:after="40"/>
      </w:pPr>
      <w:r>
        <w:t>Restart with the exact same v11.5 code, configuration, and output root.</w:t>
      </w:r>
    </w:p>
    <w:p>
      <w:pPr>
        <w:pStyle w:val="ListBullet"/>
        <w:spacing w:after="40"/>
      </w:pPr>
      <w:r>
        <w:t>Allow the engine to inspect and recover open transactions.</w:t>
      </w:r>
    </w:p>
    <w:p>
      <w:pPr>
        <w:pStyle w:val="ListBullet"/>
        <w:spacing w:after="40"/>
      </w:pPr>
      <w:r>
        <w:t>After recovery and completion, run audit and merge-audit.</w:t>
      </w:r>
    </w:p>
    <w:p>
      <w:pPr>
        <w:pStyle w:val="Callout"/>
      </w:pPr>
      <w:r>
        <w:t xml:space="preserve">Critical rule: </w:t>
      </w:r>
      <w:r>
        <w:t>never mix v8 checkpoint directories with v11.5 checkpoint directories, and never use a different schema/configuration against an existing state tree.</w:t>
      </w:r>
    </w:p>
    <w:p>
      <w:pPr>
        <w:pStyle w:val="Heading1"/>
      </w:pPr>
      <w:r>
        <w:t>12. Post-run audit and merge audit</w:t>
      </w:r>
    </w:p>
    <w:p>
      <w:pPr>
        <w:pStyle w:val="CodeBlock"/>
      </w:pPr>
      <w:r>
        <w:t>%runfile "C:/Users/AminFazlKazemi/Downloads/humid_climatology_engine_v11.5.py" --args "audit"</w:t>
      </w:r>
    </w:p>
    <w:p>
      <w:pPr>
        <w:pStyle w:val="CodeBlock"/>
      </w:pPr>
      <w:r>
        <w:t>%runfile "C:/Users/AminFazlKazemi/Downloads/humid_climatology_engine_v11.5.py" --args "merge-audit"</w:t>
      </w:r>
    </w:p>
    <w:p>
      <w:r>
        <w:t>Audit verifies structural and scientific invariants of the finished products. Merge-audit independently recombines the four decade states and checks agreement with FULL_1981_2020 within the declared tolerance. Treat a failed audit as a release blocker until the cause is understood.</w:t>
      </w:r>
    </w:p>
    <w:p>
      <w:pPr>
        <w:pStyle w:val="Heading1"/>
      </w:pPr>
      <w:r>
        <w:t>13. Reading and using the results</w:t>
      </w:r>
    </w:p>
    <w:p>
      <w:pPr>
        <w:pStyle w:val="ListBullet"/>
        <w:spacing w:after="40"/>
      </w:pPr>
      <w:r>
        <w:t>Use FULL_1981_2020 as the main climatological baseline.</w:t>
      </w:r>
    </w:p>
    <w:p>
      <w:pPr>
        <w:pStyle w:val="ListBullet"/>
        <w:spacing w:after="40"/>
      </w:pPr>
      <w:r>
        <w:t>Use decade products for temporal contrasts and regime change descriptions.</w:t>
      </w:r>
    </w:p>
    <w:p>
      <w:pPr>
        <w:pStyle w:val="ListBullet"/>
        <w:spacing w:after="40"/>
      </w:pPr>
      <w:r>
        <w:t>Use L2/L3 for diurnal structure that disappears under whole-day pooling.</w:t>
      </w:r>
    </w:p>
    <w:p>
      <w:pPr>
        <w:pStyle w:val="ListBullet"/>
        <w:spacing w:after="40"/>
      </w:pPr>
      <w:r>
        <w:t>Use extrema and threshold counters for tail/extreme behavior.</w:t>
      </w:r>
    </w:p>
    <w:p>
      <w:pPr>
        <w:pStyle w:val="ListBullet"/>
        <w:spacing w:after="40"/>
      </w:pPr>
      <w:r>
        <w:t>Use paired products for dependence analysis and the RH-q histogram for the empirical joint structure.</w:t>
      </w:r>
    </w:p>
    <w:p>
      <w:pPr>
        <w:pStyle w:val="ListBullet"/>
        <w:spacing w:after="40"/>
      </w:pPr>
      <w:r>
        <w:t>Keep source period, level, location, sample support, version, schema, and configuration fingerprint with every figure/table.</w:t>
      </w:r>
    </w:p>
    <w:p>
      <w:pPr>
        <w:pStyle w:val="Heading1"/>
      </w:pPr>
      <w:r>
        <w:t>14. Troubleshooting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8"/>
              </w:rPr>
              <w:t>Symptom</w:t>
            </w:r>
          </w:p>
        </w:tc>
        <w:tc>
          <w:tcPr>
            <w:tcW w:type="dxa" w:w="5040"/>
            <w:vAlign w:val="center"/>
            <w:shd w:fill="17365D"/>
          </w:tcPr>
          <w:p>
            <w:r/>
            <w:r>
              <w:rPr>
                <w:rFonts w:ascii="Aptos" w:hAnsi="Aptos"/>
                <w:b/>
                <w:color w:val="FFFFFF"/>
                <w:sz w:val="18"/>
              </w:rPr>
              <w:t>Action</w:t>
            </w:r>
          </w:p>
        </w:tc>
      </w:tr>
      <w:tr>
        <w:tc>
          <w:tcPr>
            <w:tcW w:type="dxa" w:w="5040"/>
            <w:vAlign w:val="center"/>
          </w:tcPr>
          <w:p>
            <w:r/>
            <w:r>
              <w:rPr>
                <w:rFonts w:ascii="Aptos" w:hAnsi="Aptos"/>
                <w:b w:val="0"/>
                <w:color w:val="000000"/>
                <w:sz w:val="18"/>
              </w:rPr>
              <w:t>Missing month</w:t>
            </w:r>
          </w:p>
        </w:tc>
        <w:tc>
          <w:tcPr>
            <w:tcW w:type="dxa" w:w="5040"/>
            <w:vAlign w:val="center"/>
          </w:tcPr>
          <w:p>
            <w:r/>
            <w:r>
              <w:rPr>
                <w:rFonts w:ascii="Aptos" w:hAnsi="Aptos"/>
                <w:b w:val="0"/>
                <w:color w:val="000000"/>
                <w:sz w:val="18"/>
              </w:rPr>
              <w:t>Restore the corresponding monthly NetCDF and rerun validation.</w:t>
            </w:r>
          </w:p>
        </w:tc>
      </w:tr>
      <w:tr>
        <w:tc>
          <w:tcPr>
            <w:tcW w:type="dxa" w:w="5040"/>
            <w:vAlign w:val="center"/>
          </w:tcPr>
          <w:p>
            <w:r/>
            <w:r>
              <w:rPr>
                <w:rFonts w:ascii="Aptos" w:hAnsi="Aptos"/>
                <w:b w:val="0"/>
                <w:color w:val="000000"/>
                <w:sz w:val="18"/>
              </w:rPr>
              <w:t>D2m latitude reversed</w:t>
            </w:r>
          </w:p>
        </w:tc>
        <w:tc>
          <w:tcPr>
            <w:tcW w:type="dxa" w:w="5040"/>
            <w:vAlign w:val="center"/>
          </w:tcPr>
          <w:p>
            <w:r/>
            <w:r>
              <w:rPr>
                <w:rFonts w:ascii="Aptos" w:hAnsi="Aptos"/>
                <w:b w:val="0"/>
                <w:color w:val="000000"/>
                <w:sz w:val="18"/>
              </w:rPr>
              <w:t>Expected axis normalization; confirm the log says GRID ALIGN | D2m | reversed latitude axis to T2m reference.</w:t>
            </w:r>
          </w:p>
        </w:tc>
      </w:tr>
      <w:tr>
        <w:tc>
          <w:tcPr>
            <w:tcW w:type="dxa" w:w="5040"/>
            <w:vAlign w:val="center"/>
          </w:tcPr>
          <w:p>
            <w:r/>
            <w:r>
              <w:rPr>
                <w:rFonts w:ascii="Aptos" w:hAnsi="Aptos"/>
                <w:b w:val="0"/>
                <w:color w:val="000000"/>
                <w:sz w:val="18"/>
              </w:rPr>
              <w:t>Grid mismatch</w:t>
            </w:r>
          </w:p>
        </w:tc>
        <w:tc>
          <w:tcPr>
            <w:tcW w:type="dxa" w:w="5040"/>
            <w:vAlign w:val="center"/>
          </w:tcPr>
          <w:p>
            <w:r/>
            <w:r>
              <w:rPr>
                <w:rFonts w:ascii="Aptos" w:hAnsi="Aptos"/>
                <w:b w:val="0"/>
                <w:color w:val="000000"/>
                <w:sz w:val="18"/>
              </w:rPr>
              <w:t>Inspect latitude/longitude arrays for T2m, D2m, and SP; do not silently regrid.</w:t>
            </w:r>
          </w:p>
        </w:tc>
      </w:tr>
      <w:tr>
        <w:tc>
          <w:tcPr>
            <w:tcW w:type="dxa" w:w="5040"/>
            <w:vAlign w:val="center"/>
          </w:tcPr>
          <w:p>
            <w:r/>
            <w:r>
              <w:rPr>
                <w:rFonts w:ascii="Aptos" w:hAnsi="Aptos"/>
                <w:b w:val="0"/>
                <w:color w:val="000000"/>
                <w:sz w:val="18"/>
              </w:rPr>
              <w:t>Checkpoint schema mismatch</w:t>
            </w:r>
          </w:p>
        </w:tc>
        <w:tc>
          <w:tcPr>
            <w:tcW w:type="dxa" w:w="5040"/>
            <w:vAlign w:val="center"/>
          </w:tcPr>
          <w:p>
            <w:r/>
            <w:r>
              <w:rPr>
                <w:rFonts w:ascii="Aptos" w:hAnsi="Aptos"/>
                <w:b w:val="0"/>
                <w:color w:val="000000"/>
                <w:sz w:val="18"/>
              </w:rPr>
              <w:t>Use the correct v11.5 output/checkpoint tree. Do not mix v8 or another schema.</w:t>
            </w:r>
          </w:p>
        </w:tc>
      </w:tr>
      <w:tr>
        <w:tc>
          <w:tcPr>
            <w:tcW w:type="dxa" w:w="5040"/>
            <w:vAlign w:val="center"/>
          </w:tcPr>
          <w:p>
            <w:r/>
            <w:r>
              <w:rPr>
                <w:rFonts w:ascii="Aptos" w:hAnsi="Aptos"/>
                <w:b w:val="0"/>
                <w:color w:val="000000"/>
                <w:sz w:val="18"/>
              </w:rPr>
              <w:t>All-NaN warnings over ocean cells</w:t>
            </w:r>
          </w:p>
        </w:tc>
        <w:tc>
          <w:tcPr>
            <w:tcW w:type="dxa" w:w="5040"/>
            <w:vAlign w:val="center"/>
          </w:tcPr>
          <w:p>
            <w:r/>
            <w:r>
              <w:rPr>
                <w:rFonts w:ascii="Aptos" w:hAnsi="Aptos"/>
                <w:b w:val="0"/>
                <w:color w:val="000000"/>
                <w:sz w:val="18"/>
              </w:rPr>
              <w:t>ERA5-Land can contain cells with no valid land observations. These cells should remain unsupported/NaN rather than being filled artificially.</w:t>
            </w:r>
          </w:p>
        </w:tc>
      </w:tr>
      <w:tr>
        <w:tc>
          <w:tcPr>
            <w:tcW w:type="dxa" w:w="5040"/>
            <w:vAlign w:val="center"/>
          </w:tcPr>
          <w:p>
            <w:r/>
            <w:r>
              <w:rPr>
                <w:rFonts w:ascii="Aptos" w:hAnsi="Aptos"/>
                <w:b w:val="0"/>
                <w:color w:val="000000"/>
                <w:sz w:val="18"/>
              </w:rPr>
              <w:t>Recovery reports an open transaction</w:t>
            </w:r>
          </w:p>
        </w:tc>
        <w:tc>
          <w:tcPr>
            <w:tcW w:type="dxa" w:w="5040"/>
            <w:vAlign w:val="center"/>
          </w:tcPr>
          <w:p>
            <w:r/>
            <w:r>
              <w:rPr>
                <w:rFonts w:ascii="Aptos" w:hAnsi="Aptos"/>
                <w:b w:val="0"/>
                <w:color w:val="000000"/>
                <w:sz w:val="18"/>
              </w:rPr>
              <w:t>Leave journal/checkpoint state intact and restart with the same release/configuration.</w:t>
            </w:r>
          </w:p>
        </w:tc>
      </w:tr>
      <w:tr>
        <w:tc>
          <w:tcPr>
            <w:tcW w:type="dxa" w:w="5040"/>
            <w:vAlign w:val="center"/>
          </w:tcPr>
          <w:p>
            <w:r/>
            <w:r>
              <w:rPr>
                <w:rFonts w:ascii="Aptos" w:hAnsi="Aptos"/>
                <w:b w:val="0"/>
                <w:color w:val="000000"/>
                <w:sz w:val="18"/>
              </w:rPr>
              <w:t>Disk full</w:t>
            </w:r>
          </w:p>
        </w:tc>
        <w:tc>
          <w:tcPr>
            <w:tcW w:type="dxa" w:w="5040"/>
            <w:vAlign w:val="center"/>
          </w:tcPr>
          <w:p>
            <w:r/>
            <w:r>
              <w:rPr>
                <w:rFonts w:ascii="Aptos" w:hAnsi="Aptos"/>
                <w:b w:val="0"/>
                <w:color w:val="000000"/>
                <w:sz w:val="18"/>
              </w:rPr>
              <w:t>Stop safely, extend/free storage, then restart from checkpoint.</w:t>
            </w:r>
          </w:p>
        </w:tc>
      </w:tr>
      <w:tr>
        <w:tc>
          <w:tcPr>
            <w:tcW w:type="dxa" w:w="5040"/>
            <w:vAlign w:val="center"/>
          </w:tcPr>
          <w:p>
            <w:r/>
            <w:r>
              <w:rPr>
                <w:rFonts w:ascii="Aptos" w:hAnsi="Aptos"/>
                <w:b w:val="0"/>
                <w:color w:val="000000"/>
                <w:sz w:val="18"/>
              </w:rPr>
              <w:t>Audit failure</w:t>
            </w:r>
          </w:p>
        </w:tc>
        <w:tc>
          <w:tcPr>
            <w:tcW w:type="dxa" w:w="5040"/>
            <w:vAlign w:val="center"/>
          </w:tcPr>
          <w:p>
            <w:r/>
            <w:r>
              <w:rPr>
                <w:rFonts w:ascii="Aptos" w:hAnsi="Aptos"/>
                <w:b w:val="0"/>
                <w:color w:val="000000"/>
                <w:sz w:val="18"/>
              </w:rPr>
              <w:t>Treat the state as untrusted until the cause is diagnosed; do not bypass the audit.</w:t>
            </w:r>
          </w:p>
        </w:tc>
      </w:tr>
    </w:tbl>
    <w:p/>
    <w:p>
      <w:pPr>
        <w:pStyle w:val="Heading1"/>
      </w:pPr>
      <w:r>
        <w:t>15. Recommended publication and production workflow</w:t>
      </w:r>
    </w:p>
    <w:p>
      <w:pPr>
        <w:pStyle w:val="CodeBlock"/>
      </w:pPr>
      <w:r>
        <w:t>selftest -&gt; validate-input -&gt; real-data pilot -&gt; recovery test -&gt; production -&gt; audit -&gt; merge-audit -&gt; analytical comparison -&gt; archive</w:t>
      </w:r>
    </w:p>
    <w:p>
      <w:r>
        <w:t>For a publication package, archive the exact v11.5 source, configuration, input inventory, script hash, configuration fingerprint, run manifest, audit reports, and output checksums. Analytical companions should consume frozen engine outputs rather than changing the primary accumulation definition.</w:t>
      </w:r>
    </w:p>
    <w:p>
      <w:pPr>
        <w:pStyle w:val="Heading1"/>
      </w:pPr>
      <w:r>
        <w:t>16. Production launch checklist</w:t>
      </w:r>
    </w:p>
    <w:p>
      <w:pPr>
        <w:pStyle w:val="ListBullet"/>
        <w:spacing w:after="40"/>
      </w:pPr>
      <w:r>
        <w:t>v11.5 source file is the intended release copy and compiles in the target environment.</w:t>
      </w:r>
    </w:p>
    <w:p>
      <w:pPr>
        <w:pStyle w:val="ListBullet"/>
        <w:spacing w:after="40"/>
      </w:pPr>
      <w:r>
        <w:t>Self-test PASS.</w:t>
      </w:r>
    </w:p>
    <w:p>
      <w:pPr>
        <w:pStyle w:val="ListBullet"/>
        <w:spacing w:after="40"/>
      </w:pPr>
      <w:r>
        <w:t>Representative real year input validation PASS.</w:t>
      </w:r>
    </w:p>
    <w:p>
      <w:pPr>
        <w:pStyle w:val="ListBullet"/>
        <w:spacing w:after="40"/>
      </w:pPr>
      <w:r>
        <w:t>Real-data pilot PASS with checkpoint reopen PASS.</w:t>
      </w:r>
    </w:p>
    <w:p>
      <w:pPr>
        <w:pStyle w:val="ListBullet"/>
        <w:spacing w:after="40"/>
      </w:pPr>
      <w:r>
        <w:t>Input inventory covers every required month in 1981–2020.</w:t>
      </w:r>
    </w:p>
    <w:p>
      <w:pPr>
        <w:pStyle w:val="ListBullet"/>
        <w:spacing w:after="40"/>
      </w:pPr>
      <w:r>
        <w:t>T2m/D2m/SP grids align to the T2m reference after permitted axis normalization.</w:t>
      </w:r>
    </w:p>
    <w:p>
      <w:pPr>
        <w:pStyle w:val="ListBullet"/>
        <w:spacing w:after="40"/>
      </w:pPr>
      <w:r>
        <w:t>Output root is separate from the historical v8 checkpoint tree.</w:t>
      </w:r>
    </w:p>
    <w:p>
      <w:pPr>
        <w:pStyle w:val="ListBullet"/>
        <w:spacing w:after="40"/>
      </w:pPr>
      <w:r>
        <w:t>Sufficient free disk capacity exists for checkpoints and final NetCDF products.</w:t>
      </w:r>
    </w:p>
    <w:p>
      <w:pPr>
        <w:pStyle w:val="ListBullet"/>
        <w:spacing w:after="40"/>
      </w:pPr>
      <w:r>
        <w:t>No second process will write to the same production workspace.</w:t>
      </w:r>
    </w:p>
    <w:p>
      <w:pPr>
        <w:pStyle w:val="ListBullet"/>
        <w:spacing w:after="40"/>
      </w:pPr>
      <w:r>
        <w:t>After completion: audit PASS and merge-audit PASS.</w:t>
      </w:r>
    </w:p>
    <w:p>
      <w:pPr>
        <w:pStyle w:val="ListBullet"/>
        <w:spacing w:after="40"/>
      </w:pPr>
      <w:r>
        <w:t>Run manifest, hashes, and final logs are archived.</w:t>
      </w:r>
    </w:p>
    <w:p>
      <w:pPr>
        <w:pStyle w:val="Heading1"/>
      </w:pPr>
      <w:r>
        <w:t>Appendix A. Quick command sheet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8"/>
              </w:rPr>
              <w:t>Task</w:t>
            </w:r>
          </w:p>
        </w:tc>
        <w:tc>
          <w:tcPr>
            <w:tcW w:type="dxa" w:w="5040"/>
            <w:vAlign w:val="center"/>
            <w:shd w:fill="17365D"/>
          </w:tcPr>
          <w:p>
            <w:r/>
            <w:r>
              <w:rPr>
                <w:rFonts w:ascii="Aptos" w:hAnsi="Aptos"/>
                <w:b/>
                <w:color w:val="FFFFFF"/>
                <w:sz w:val="18"/>
              </w:rPr>
              <w:t>Spyder / IPython command</w:t>
            </w:r>
          </w:p>
        </w:tc>
      </w:tr>
      <w:tr>
        <w:tc>
          <w:tcPr>
            <w:tcW w:type="dxa" w:w="5040"/>
            <w:vAlign w:val="center"/>
          </w:tcPr>
          <w:p>
            <w:r/>
            <w:r>
              <w:rPr>
                <w:rFonts w:ascii="Aptos" w:hAnsi="Aptos"/>
                <w:b w:val="0"/>
                <w:color w:val="000000"/>
                <w:sz w:val="18"/>
              </w:rPr>
              <w:t>Self-test</w:t>
            </w:r>
          </w:p>
        </w:tc>
        <w:tc>
          <w:tcPr>
            <w:tcW w:type="dxa" w:w="5040"/>
            <w:vAlign w:val="center"/>
          </w:tcPr>
          <w:p>
            <w:r/>
            <w:r>
              <w:rPr>
                <w:rFonts w:ascii="Aptos" w:hAnsi="Aptos"/>
                <w:b w:val="0"/>
                <w:color w:val="000000"/>
                <w:sz w:val="18"/>
              </w:rPr>
              <w:t>%runfile "C:/Users/AminFazlKazemi/Downloads/humid_climatology_engine_v11.5.py" --args "selftest"</w:t>
            </w:r>
          </w:p>
        </w:tc>
      </w:tr>
      <w:tr>
        <w:tc>
          <w:tcPr>
            <w:tcW w:type="dxa" w:w="5040"/>
            <w:vAlign w:val="center"/>
          </w:tcPr>
          <w:p>
            <w:r/>
            <w:r>
              <w:rPr>
                <w:rFonts w:ascii="Aptos" w:hAnsi="Aptos"/>
                <w:b w:val="0"/>
                <w:color w:val="000000"/>
                <w:sz w:val="18"/>
              </w:rPr>
              <w:t>Validate 2011</w:t>
            </w:r>
          </w:p>
        </w:tc>
        <w:tc>
          <w:tcPr>
            <w:tcW w:type="dxa" w:w="5040"/>
            <w:vAlign w:val="center"/>
          </w:tcPr>
          <w:p>
            <w:r/>
            <w:r>
              <w:rPr>
                <w:rFonts w:ascii="Aptos" w:hAnsi="Aptos"/>
                <w:b w:val="0"/>
                <w:color w:val="000000"/>
                <w:sz w:val="18"/>
              </w:rPr>
              <w:t>%runfile "C:/Users/AminFazlKazemi/Downloads/humid_climatology_engine_v11.5.py" --args "validate-input --year 2011"</w:t>
            </w:r>
          </w:p>
        </w:tc>
      </w:tr>
      <w:tr>
        <w:tc>
          <w:tcPr>
            <w:tcW w:type="dxa" w:w="5040"/>
            <w:vAlign w:val="center"/>
          </w:tcPr>
          <w:p>
            <w:r/>
            <w:r>
              <w:rPr>
                <w:rFonts w:ascii="Aptos" w:hAnsi="Aptos"/>
                <w:b w:val="0"/>
                <w:color w:val="000000"/>
                <w:sz w:val="18"/>
              </w:rPr>
              <w:t>January 2011 pilot</w:t>
            </w:r>
          </w:p>
        </w:tc>
        <w:tc>
          <w:tcPr>
            <w:tcW w:type="dxa" w:w="5040"/>
            <w:vAlign w:val="center"/>
          </w:tcPr>
          <w:p>
            <w:r/>
            <w:r>
              <w:rPr>
                <w:rFonts w:ascii="Aptos" w:hAnsi="Aptos"/>
                <w:b w:val="0"/>
                <w:color w:val="000000"/>
                <w:sz w:val="18"/>
              </w:rPr>
              <w:t>%runfile "C:/Users/AminFazlKazemi/Downloads/humid_climatology_engine_v11.5.py" --args "pilot --year 2011 --month 1 --verbose"</w:t>
            </w:r>
          </w:p>
        </w:tc>
      </w:tr>
      <w:tr>
        <w:tc>
          <w:tcPr>
            <w:tcW w:type="dxa" w:w="5040"/>
            <w:vAlign w:val="center"/>
          </w:tcPr>
          <w:p>
            <w:r/>
            <w:r>
              <w:rPr>
                <w:rFonts w:ascii="Aptos" w:hAnsi="Aptos"/>
                <w:b w:val="0"/>
                <w:color w:val="000000"/>
                <w:sz w:val="18"/>
              </w:rPr>
              <w:t>Production run</w:t>
            </w:r>
          </w:p>
        </w:tc>
        <w:tc>
          <w:tcPr>
            <w:tcW w:type="dxa" w:w="5040"/>
            <w:vAlign w:val="center"/>
          </w:tcPr>
          <w:p>
            <w:r/>
            <w:r>
              <w:rPr>
                <w:rFonts w:ascii="Aptos" w:hAnsi="Aptos"/>
                <w:b w:val="0"/>
                <w:color w:val="000000"/>
                <w:sz w:val="18"/>
              </w:rPr>
              <w:t>%runfile "C:/Users/AminFazlKazemi/Downloads/humid_climatology_engine_v11.5.py" --args "run --verbose"</w:t>
            </w:r>
          </w:p>
        </w:tc>
      </w:tr>
      <w:tr>
        <w:tc>
          <w:tcPr>
            <w:tcW w:type="dxa" w:w="5040"/>
            <w:vAlign w:val="center"/>
          </w:tcPr>
          <w:p>
            <w:r/>
            <w:r>
              <w:rPr>
                <w:rFonts w:ascii="Aptos" w:hAnsi="Aptos"/>
                <w:b w:val="0"/>
                <w:color w:val="000000"/>
                <w:sz w:val="18"/>
              </w:rPr>
              <w:t>Audit</w:t>
            </w:r>
          </w:p>
        </w:tc>
        <w:tc>
          <w:tcPr>
            <w:tcW w:type="dxa" w:w="5040"/>
            <w:vAlign w:val="center"/>
          </w:tcPr>
          <w:p>
            <w:r/>
            <w:r>
              <w:rPr>
                <w:rFonts w:ascii="Aptos" w:hAnsi="Aptos"/>
                <w:b w:val="0"/>
                <w:color w:val="000000"/>
                <w:sz w:val="18"/>
              </w:rPr>
              <w:t>%runfile "C:/Users/AminFazlKazemi/Downloads/humid_climatology_engine_v11.5.py" --args "audit"</w:t>
            </w:r>
          </w:p>
        </w:tc>
      </w:tr>
      <w:tr>
        <w:tc>
          <w:tcPr>
            <w:tcW w:type="dxa" w:w="5040"/>
            <w:vAlign w:val="center"/>
          </w:tcPr>
          <w:p>
            <w:r/>
            <w:r>
              <w:rPr>
                <w:rFonts w:ascii="Aptos" w:hAnsi="Aptos"/>
                <w:b w:val="0"/>
                <w:color w:val="000000"/>
                <w:sz w:val="18"/>
              </w:rPr>
              <w:t>Merge audit</w:t>
            </w:r>
          </w:p>
        </w:tc>
        <w:tc>
          <w:tcPr>
            <w:tcW w:type="dxa" w:w="5040"/>
            <w:vAlign w:val="center"/>
          </w:tcPr>
          <w:p>
            <w:r/>
            <w:r>
              <w:rPr>
                <w:rFonts w:ascii="Aptos" w:hAnsi="Aptos"/>
                <w:b w:val="0"/>
                <w:color w:val="000000"/>
                <w:sz w:val="18"/>
              </w:rPr>
              <w:t>%runfile "C:/Users/AminFazlKazemi/Downloads/humid_climatology_engine_v11.5.py" --args "merge-audit"</w:t>
            </w:r>
          </w:p>
        </w:tc>
      </w:tr>
    </w:tbl>
    <w:p/>
    <w:p>
      <w:pPr>
        <w:pStyle w:val="Heading1"/>
      </w:pPr>
      <w:r>
        <w:t>Appendix B. Release identity</w:t>
      </w:r>
    </w:p>
    <w:p>
      <w:r>
        <w:t>Public scientific baseline: HumidClimatologyEngine v11.5. This document intentionally uses v11.5 terminology throughout so that the runbook, release announcement, screenshots, and scientific reference describe one consistent public version.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Public release baseline: v11.5 | Operational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060"/>
        <w:sz w:val="16"/>
      </w:rPr>
      <w:t>HumidClimatologyEngine v11.5 | User Guide &amp; Production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17365D"/>
      <w:sz w:val="20"/>
    </w:rPr>
  </w:style>
  <w:style w:type="paragraph" w:customStyle="1" w:styleId="CodeBlock">
    <w:name w:val="CodeBlock"/>
    <w:pPr>
      <w:spacing w:after="12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HumidClimatologyEngine v11.5 - User Guide and Production Runbook</dc:title>
  <dc:subject>User and production runbook for HumidClimatologyEngine v11.5</dc:subject>
  <dc:creator>HumidClimatologyEngine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