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HumidClimatologyEngine v8 vs v11.5</w:t>
        <w:br/>
        <w:t>Complete Scientific &amp; Engineering Comparison</w:t>
      </w:r>
    </w:p>
    <w:p>
      <w:pPr>
        <w:jc w:val="center"/>
      </w:pPr>
      <w:r>
        <w:rPr>
          <w:i/>
        </w:rPr>
        <w:t>Public release baseline: v11.5  |  Historical baseline: v8</w:t>
      </w:r>
    </w:p>
    <w:p>
      <w:pPr>
        <w:pStyle w:val="Heading1"/>
      </w:pPr>
      <w:r>
        <w:t>1. Purpose and scope</w:t>
      </w:r>
    </w:p>
    <w:p>
      <w:r>
        <w:t>This document compares the historical v8 architecture with the public v11.5 release of HumidClimatologyEngine. It distinguishes scientific capability, statistical state, persistence, reproducibility, operational safety, and analytical responsibilities. The comparison is intended for researchers who need to understand what changed without confusing later engineering maintenance with a different scientific method.</w:t>
      </w:r>
    </w:p>
    <w:p>
      <w:pPr>
        <w:pStyle w:val="Heading1"/>
      </w:pPr>
      <w:r>
        <w:t>2. Executive summary</w:t>
      </w:r>
    </w:p>
    <w:p>
      <w:r>
        <w:t>v8 represents the earlier, more compact processing concept. v11.5 is a substantially richer empirical moisture-climatology engine built around observation-level processing, explicit temporal levels, mergeable statistics, paired-valid dependence state, empirical joint histograms, auditable persistence, and recovery-aware execution. The central scientific direction is not merely “more software”; it is preservation of information that can disappear when hourly observations are aggregated too early.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A5F"/>
          </w:tcPr>
          <w:p>
            <w:r>
              <w:rPr>
                <w:b/>
              </w:rPr>
              <w:t>Dimension</w:t>
            </w:r>
          </w:p>
        </w:tc>
        <w:tc>
          <w:tcPr>
            <w:tcW w:type="dxa" w:w="3408"/>
            <w:shd w:fill="163A5F"/>
          </w:tcPr>
          <w:p>
            <w:r>
              <w:rPr>
                <w:b/>
              </w:rPr>
              <w:t>v8</w:t>
            </w:r>
          </w:p>
        </w:tc>
        <w:tc>
          <w:tcPr>
            <w:tcW w:type="dxa" w:w="3408"/>
            <w:shd w:fill="163A5F"/>
          </w:tcPr>
          <w:p>
            <w:r>
              <w:rPr>
                <w:b/>
              </w:rPr>
              <w:t>v11.5</w:t>
            </w:r>
          </w:p>
        </w:tc>
      </w:tr>
      <w:tr>
        <w:tc>
          <w:tcPr>
            <w:tcW w:type="dxa" w:w="3408"/>
            <w:vAlign w:val="top"/>
          </w:tcPr>
          <w:p>
            <w:r>
              <w:t>Primary role</w:t>
            </w:r>
          </w:p>
        </w:tc>
        <w:tc>
          <w:tcPr>
            <w:tcW w:type="dxa" w:w="3408"/>
            <w:vAlign w:val="top"/>
          </w:tcPr>
          <w:p>
            <w:r>
              <w:t>Earlier compact climatology workflow</w:t>
            </w:r>
          </w:p>
        </w:tc>
        <w:tc>
          <w:tcPr>
            <w:tcW w:type="dxa" w:w="3408"/>
            <w:vAlign w:val="top"/>
          </w:tcPr>
          <w:p>
            <w:r>
              <w:t>Research-grade empirical moisture-climatology engine</w:t>
            </w:r>
          </w:p>
        </w:tc>
      </w:tr>
      <w:tr>
        <w:tc>
          <w:tcPr>
            <w:tcW w:type="dxa" w:w="3408"/>
            <w:vAlign w:val="top"/>
          </w:tcPr>
          <w:p>
            <w:r>
              <w:t>Input basis</w:t>
            </w:r>
          </w:p>
        </w:tc>
        <w:tc>
          <w:tcPr>
            <w:tcW w:type="dxa" w:w="3408"/>
            <w:vAlign w:val="top"/>
          </w:tcPr>
          <w:p>
            <w:r>
              <w:t>ERA5-Land temperature/dew-point/pressure family</w:t>
            </w:r>
          </w:p>
        </w:tc>
        <w:tc>
          <w:tcPr>
            <w:tcW w:type="dxa" w:w="3408"/>
            <w:vAlign w:val="top"/>
          </w:tcPr>
          <w:p>
            <w:r>
              <w:t>Same primary ERA5-Land families, with explicit grid alignment and validation</w:t>
            </w:r>
          </w:p>
        </w:tc>
      </w:tr>
      <w:tr>
        <w:tc>
          <w:tcPr>
            <w:tcW w:type="dxa" w:w="3408"/>
            <w:vAlign w:val="top"/>
          </w:tcPr>
          <w:p>
            <w:r>
              <w:t>Temporal structure</w:t>
            </w:r>
          </w:p>
        </w:tc>
        <w:tc>
          <w:tcPr>
            <w:tcW w:type="dxa" w:w="3408"/>
            <w:vAlign w:val="top"/>
          </w:tcPr>
          <w:p>
            <w:r>
              <w:t>More compact/statistically aggregated</w:t>
            </w:r>
          </w:p>
        </w:tc>
        <w:tc>
          <w:tcPr>
            <w:tcW w:type="dxa" w:w="3408"/>
            <w:vAlign w:val="top"/>
          </w:tcPr>
          <w:p>
            <w:r>
              <w:t>L1 daily + L2 eight 3-hour bins + L3 24 hourly bins; 33 bins total</w:t>
            </w:r>
          </w:p>
        </w:tc>
      </w:tr>
      <w:tr>
        <w:tc>
          <w:tcPr>
            <w:tcW w:type="dxa" w:w="3408"/>
            <w:vAlign w:val="top"/>
          </w:tcPr>
          <w:p>
            <w:r>
              <w:t>Scalar statistics</w:t>
            </w:r>
          </w:p>
        </w:tc>
        <w:tc>
          <w:tcPr>
            <w:tcW w:type="dxa" w:w="3408"/>
            <w:vAlign w:val="top"/>
          </w:tcPr>
          <w:p>
            <w:r>
              <w:t>Core moments / summaries</w:t>
            </w:r>
          </w:p>
        </w:tc>
        <w:tc>
          <w:tcPr>
            <w:tcW w:type="dxa" w:w="3408"/>
            <w:vAlign w:val="top"/>
          </w:tcPr>
          <w:p>
            <w:r>
              <w:t>n, mean, M2, M3, M4, min, max, missing and threshold counters</w:t>
            </w:r>
          </w:p>
        </w:tc>
      </w:tr>
      <w:tr>
        <w:tc>
          <w:tcPr>
            <w:tcW w:type="dxa" w:w="3408"/>
            <w:vAlign w:val="top"/>
          </w:tcPr>
          <w:p>
            <w:r>
              <w:t>Dependence</w:t>
            </w:r>
          </w:p>
        </w:tc>
        <w:tc>
          <w:tcPr>
            <w:tcW w:type="dxa" w:w="3408"/>
            <w:vAlign w:val="top"/>
          </w:tcPr>
          <w:p>
            <w:r>
              <w:t>Simpler pair handling</w:t>
            </w:r>
          </w:p>
        </w:tc>
        <w:tc>
          <w:tcPr>
            <w:tcW w:type="dxa" w:w="3408"/>
            <w:vAlign w:val="top"/>
          </w:tcPr>
          <w:p>
            <w:r>
              <w:t>Pair-specific masks, paired moments, covariance/correlation</w:t>
            </w:r>
          </w:p>
        </w:tc>
      </w:tr>
      <w:tr>
        <w:tc>
          <w:tcPr>
            <w:tcW w:type="dxa" w:w="3408"/>
            <w:vAlign w:val="top"/>
          </w:tcPr>
          <w:p>
            <w:r>
              <w:t>Empirical joint product</w:t>
            </w:r>
          </w:p>
        </w:tc>
        <w:tc>
          <w:tcPr>
            <w:tcW w:type="dxa" w:w="3408"/>
            <w:vAlign w:val="top"/>
          </w:tcPr>
          <w:p>
            <w:r>
              <w:t>Limited/earlier formulation</w:t>
            </w:r>
          </w:p>
        </w:tc>
        <w:tc>
          <w:tcPr>
            <w:tcW w:type="dxa" w:w="3408"/>
            <w:vAlign w:val="top"/>
          </w:tcPr>
          <w:p>
            <w:r>
              <w:t>RH×q histogram reference; configured empirical joint support</w:t>
            </w:r>
          </w:p>
        </w:tc>
      </w:tr>
      <w:tr>
        <w:tc>
          <w:tcPr>
            <w:tcW w:type="dxa" w:w="3408"/>
            <w:vAlign w:val="top"/>
          </w:tcPr>
          <w:p>
            <w:r>
              <w:t>Persistence</w:t>
            </w:r>
          </w:p>
        </w:tc>
        <w:tc>
          <w:tcPr>
            <w:tcW w:type="dxa" w:w="3408"/>
            <w:vAlign w:val="top"/>
          </w:tcPr>
          <w:p>
            <w:r>
              <w:t>Earlier output/checkpoint model</w:t>
            </w:r>
          </w:p>
        </w:tc>
        <w:tc>
          <w:tcPr>
            <w:tcW w:type="dxa" w:w="3408"/>
            <w:vAlign w:val="top"/>
          </w:tcPr>
          <w:p>
            <w:r>
              <w:t>Transactional checkpointing, commit truth, recovery, audit/merge-audit</w:t>
            </w:r>
          </w:p>
        </w:tc>
      </w:tr>
      <w:tr>
        <w:tc>
          <w:tcPr>
            <w:tcW w:type="dxa" w:w="3408"/>
            <w:vAlign w:val="top"/>
          </w:tcPr>
          <w:p>
            <w:r>
              <w:t>Reproducibility</w:t>
            </w:r>
          </w:p>
        </w:tc>
        <w:tc>
          <w:tcPr>
            <w:tcW w:type="dxa" w:w="3408"/>
            <w:vAlign w:val="top"/>
          </w:tcPr>
          <w:p>
            <w:r>
              <w:t>Less explicit</w:t>
            </w:r>
          </w:p>
        </w:tc>
        <w:tc>
          <w:tcPr>
            <w:tcW w:type="dxa" w:w="3408"/>
            <w:vAlign w:val="top"/>
          </w:tcPr>
          <w:p>
            <w:r>
              <w:t>Version/schema/config fingerprint and run manifest visible in outputs</w:t>
            </w:r>
          </w:p>
        </w:tc>
      </w:tr>
      <w:tr>
        <w:tc>
          <w:tcPr>
            <w:tcW w:type="dxa" w:w="3408"/>
            <w:vAlign w:val="top"/>
          </w:tcPr>
          <w:p>
            <w:r>
              <w:t>Operational focus</w:t>
            </w:r>
          </w:p>
        </w:tc>
        <w:tc>
          <w:tcPr>
            <w:tcW w:type="dxa" w:w="3408"/>
            <w:vAlign w:val="top"/>
          </w:tcPr>
          <w:p>
            <w:r>
              <w:t>Compact processing</w:t>
            </w:r>
          </w:p>
        </w:tc>
        <w:tc>
          <w:tcPr>
            <w:tcW w:type="dxa" w:w="3408"/>
            <w:vAlign w:val="top"/>
          </w:tcPr>
          <w:p>
            <w:r>
              <w:t>Long unattended production execution with progress and recovery contracts</w:t>
            </w:r>
          </w:p>
        </w:tc>
      </w:tr>
      <w:tr>
        <w:tc>
          <w:tcPr>
            <w:tcW w:type="dxa" w:w="3408"/>
            <w:vAlign w:val="top"/>
          </w:tcPr>
          <w:p>
            <w:r>
              <w:t>Analytical separation</w:t>
            </w:r>
          </w:p>
        </w:tc>
        <w:tc>
          <w:tcPr>
            <w:tcW w:type="dxa" w:w="3408"/>
            <w:vAlign w:val="top"/>
          </w:tcPr>
          <w:p>
            <w:r>
              <w:t>Less explicit</w:t>
            </w:r>
          </w:p>
        </w:tc>
        <w:tc>
          <w:tcPr>
            <w:tcW w:type="dxa" w:w="3408"/>
            <w:vAlign w:val="top"/>
          </w:tcPr>
          <w:p>
            <w:r>
              <w:t>Core calculation separated from downstream analytical/graphical tools</w:t>
            </w:r>
          </w:p>
        </w:tc>
      </w:tr>
    </w:tbl>
    <w:p/>
    <w:p>
      <w:pPr>
        <w:pStyle w:val="Heading1"/>
      </w:pPr>
      <w:r>
        <w:t>3. Scientific architecture</w:t>
      </w:r>
    </w:p>
    <w:p>
      <w:pPr>
        <w:pStyle w:val="Heading2"/>
      </w:pPr>
      <w:r>
        <w:t>3.1 Input variables</w:t>
      </w:r>
    </w:p>
    <w:p>
      <w:r>
        <w:t>The production baseline keeps the three primary ERA5-Land input families conceptually stable: 2-m air temperature (T2m), 2-m dew-point temperature (D2m), and surface pressure (SP). v11.5 explicitly validates dimensions, coordinate names, coordinate values, monotonicity, and cross-product grid consistency. In the observed data, D2m latitude can be reversed relative to T2m; v11.5 normalizes that axis to the T2m reference instead of rejecting an otherwise equivalent grid.</w:t>
      </w:r>
    </w:p>
    <w:p>
      <w:pPr>
        <w:pStyle w:val="Heading2"/>
      </w:pPr>
      <w:r>
        <w:t>3.2 Derived moisture quantities</w:t>
      </w:r>
    </w:p>
    <w:p>
      <w:r>
        <w:t>v11.5 derives a consistent moisture variable set from the thermodynamic inputs, including relative humidity (RH), vapor pressure (e), mixing ratio (r), and specific humidity (q). The derived quantities share validity/masking logic so that downstream statistics are based on explicit support rather than silent numerical coercion.</w:t>
      </w:r>
    </w:p>
    <w:p>
      <w:pPr>
        <w:pStyle w:val="Heading2"/>
      </w:pPr>
      <w:r>
        <w:t>3.3 Temporal resolution</w:t>
      </w:r>
    </w:p>
    <w:p>
      <w:r>
        <w:t>A defining v11.5 change is retention of sub-daily structure. L1 is a daily pooled state, L2 contains eight 3-hour bins, and L3 contains 24 hourly bins, giving a combined 33-bin temporal dimension. This preserves diurnal structure that a whole-day aggregation would erase.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A5F"/>
          </w:tcPr>
          <w:p>
            <w:r>
              <w:rPr>
                <w:b/>
              </w:rPr>
              <w:t>Level</w:t>
            </w:r>
          </w:p>
        </w:tc>
        <w:tc>
          <w:tcPr>
            <w:tcW w:type="dxa" w:w="3408"/>
            <w:shd w:fill="163A5F"/>
          </w:tcPr>
          <w:p>
            <w:r>
              <w:rPr>
                <w:b/>
              </w:rPr>
              <w:t>Meaning</w:t>
            </w:r>
          </w:p>
        </w:tc>
        <w:tc>
          <w:tcPr>
            <w:tcW w:type="dxa" w:w="3408"/>
            <w:shd w:fill="163A5F"/>
          </w:tcPr>
          <w:p>
            <w:r>
              <w:rPr>
                <w:b/>
              </w:rPr>
              <w:t>Bins</w:t>
            </w:r>
          </w:p>
        </w:tc>
      </w:tr>
      <w:tr>
        <w:tc>
          <w:tcPr>
            <w:tcW w:type="dxa" w:w="3408"/>
            <w:vAlign w:val="top"/>
          </w:tcPr>
          <w:p>
            <w:r>
              <w:t>L1</w:t>
            </w:r>
          </w:p>
        </w:tc>
        <w:tc>
          <w:tcPr>
            <w:tcW w:type="dxa" w:w="3408"/>
            <w:vAlign w:val="top"/>
          </w:tcPr>
          <w:p>
            <w:r>
              <w:t>Daily pooled climatology</w:t>
            </w:r>
          </w:p>
        </w:tc>
        <w:tc>
          <w:tcPr>
            <w:tcW w:type="dxa" w:w="3408"/>
            <w:vAlign w:val="top"/>
          </w:tcPr>
          <w:p>
            <w:r>
              <w:t>1</w:t>
            </w:r>
          </w:p>
        </w:tc>
      </w:tr>
      <w:tr>
        <w:tc>
          <w:tcPr>
            <w:tcW w:type="dxa" w:w="3408"/>
            <w:vAlign w:val="top"/>
          </w:tcPr>
          <w:p>
            <w:r>
              <w:t>L2</w:t>
            </w:r>
          </w:p>
        </w:tc>
        <w:tc>
          <w:tcPr>
            <w:tcW w:type="dxa" w:w="3408"/>
            <w:vAlign w:val="top"/>
          </w:tcPr>
          <w:p>
            <w:r>
              <w:t>Three-hour structure</w:t>
            </w:r>
          </w:p>
        </w:tc>
        <w:tc>
          <w:tcPr>
            <w:tcW w:type="dxa" w:w="3408"/>
            <w:vAlign w:val="top"/>
          </w:tcPr>
          <w:p>
            <w:r>
              <w:t>8</w:t>
            </w:r>
          </w:p>
        </w:tc>
      </w:tr>
      <w:tr>
        <w:tc>
          <w:tcPr>
            <w:tcW w:type="dxa" w:w="3408"/>
            <w:vAlign w:val="top"/>
          </w:tcPr>
          <w:p>
            <w:r>
              <w:t>L3</w:t>
            </w:r>
          </w:p>
        </w:tc>
        <w:tc>
          <w:tcPr>
            <w:tcW w:type="dxa" w:w="3408"/>
            <w:vAlign w:val="top"/>
          </w:tcPr>
          <w:p>
            <w:r>
              <w:t>Hourly structure</w:t>
            </w:r>
          </w:p>
        </w:tc>
        <w:tc>
          <w:tcPr>
            <w:tcW w:type="dxa" w:w="3408"/>
            <w:vAlign w:val="top"/>
          </w:tcPr>
          <w:p>
            <w:r>
              <w:t>24</w:t>
            </w:r>
          </w:p>
        </w:tc>
      </w:tr>
      <w:tr>
        <w:tc>
          <w:tcPr>
            <w:tcW w:type="dxa" w:w="3408"/>
            <w:vAlign w:val="top"/>
          </w:tcPr>
          <w:p>
            <w:r>
              <w:t>Combined</w:t>
            </w:r>
          </w:p>
        </w:tc>
        <w:tc>
          <w:tcPr>
            <w:tcW w:type="dxa" w:w="3408"/>
            <w:vAlign w:val="top"/>
          </w:tcPr>
          <w:p>
            <w:r>
              <w:t>Temporal state dimension</w:t>
            </w:r>
          </w:p>
        </w:tc>
        <w:tc>
          <w:tcPr>
            <w:tcW w:type="dxa" w:w="3408"/>
            <w:vAlign w:val="top"/>
          </w:tcPr>
          <w:p>
            <w:r>
              <w:t>33</w:t>
            </w:r>
          </w:p>
        </w:tc>
      </w:tr>
    </w:tbl>
    <w:p/>
    <w:p>
      <w:pPr>
        <w:pStyle w:val="Heading1"/>
      </w:pPr>
      <w:r>
        <w:t>4. Statistical state</w:t>
      </w:r>
    </w:p>
    <w:p>
      <w:pPr>
        <w:pStyle w:val="Heading2"/>
      </w:pPr>
      <w:r>
        <w:t>4.1 Mergeable moments</w:t>
      </w:r>
    </w:p>
    <w:p>
      <w:r>
        <w:t>v11.5 stores mergeable central-moment state rather than retaining the complete multidecade sample in memory. The persisted state includes sample count and first through fourth central-moment accumulators, allowing decade products and the FULL product to be combined without replaying the raw archive. This is central to scalable production execution.</w:t>
      </w:r>
    </w:p>
    <w:p>
      <w:pPr>
        <w:pStyle w:val="Heading2"/>
      </w:pPr>
      <w:r>
        <w:t>4.2 Extrema and threshold counters</w:t>
      </w:r>
    </w:p>
    <w:p>
      <w:r>
        <w:t>Minimum and maximum are first-class statistics. Thresholds for RH, e, r, and q are maintained as exact integer counters. This makes support and denominator definitions explicit and allows direct audit checks rather than relying only on derived probabilities.</w:t>
      </w:r>
    </w:p>
    <w:p>
      <w:pPr>
        <w:pStyle w:val="Heading2"/>
      </w:pPr>
      <w:r>
        <w:t>4.3 Paired dependence</w:t>
      </w:r>
    </w:p>
    <w:p>
      <w:r>
        <w:t>Configured pairs include RH–q, RH–e, q–e, and r–q. Pair statistics use pair-specific validity masks so that covariance and correlation are computed from the actual paired support, avoiding accidental reuse of marginal masks.</w:t>
      </w:r>
    </w:p>
    <w:p>
      <w:pPr>
        <w:pStyle w:val="Heading2"/>
      </w:pPr>
      <w:r>
        <w:t>4.4 Empirical joint distribution</w:t>
      </w:r>
    </w:p>
    <w:p>
      <w:r>
        <w:t>The default RH×q empirical joint reference is represented as a piecewise-constant histogram. The reference definition uses an RH range of 0–130%, a q range of 0–0.030, and an 8×8 resolution. Histogram states are a distinct 9-level-bin family in the persistence schema and must not be confused with the 33 temporal state bins.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3A5F"/>
          </w:tcPr>
          <w:p>
            <w:r>
              <w:rPr>
                <w:b/>
              </w:rPr>
              <w:t>State family</w:t>
            </w:r>
          </w:p>
        </w:tc>
        <w:tc>
          <w:tcPr>
            <w:tcW w:type="dxa" w:w="5112"/>
            <w:shd w:fill="163A5F"/>
          </w:tcPr>
          <w:p>
            <w:r>
              <w:rPr>
                <w:b/>
              </w:rPr>
              <w:t>Definition in v11.5</w:t>
            </w:r>
          </w:p>
        </w:tc>
      </w:tr>
      <w:tr>
        <w:tc>
          <w:tcPr>
            <w:tcW w:type="dxa" w:w="5112"/>
            <w:vAlign w:val="top"/>
          </w:tcPr>
          <w:p>
            <w:r>
              <w:t>Temporal state</w:t>
            </w:r>
          </w:p>
        </w:tc>
        <w:tc>
          <w:tcPr>
            <w:tcW w:type="dxa" w:w="5112"/>
            <w:vAlign w:val="top"/>
          </w:tcPr>
          <w:p>
            <w:r>
              <w:t>33 bins: L1=1, L2=8, L3=24</w:t>
            </w:r>
          </w:p>
        </w:tc>
      </w:tr>
      <w:tr>
        <w:tc>
          <w:tcPr>
            <w:tcW w:type="dxa" w:w="5112"/>
            <w:vAlign w:val="top"/>
          </w:tcPr>
          <w:p>
            <w:r>
              <w:t>Histogram state</w:t>
            </w:r>
          </w:p>
        </w:tc>
        <w:tc>
          <w:tcPr>
            <w:tcW w:type="dxa" w:w="5112"/>
            <w:vAlign w:val="top"/>
          </w:tcPr>
          <w:p>
            <w:r>
              <w:t>9 configured level bins for L1/L2 histogram products</w:t>
            </w:r>
          </w:p>
        </w:tc>
      </w:tr>
    </w:tbl>
    <w:p/>
    <w:p>
      <w:pPr>
        <w:pStyle w:val="Heading1"/>
      </w:pPr>
      <w:r>
        <w:t>5. Persistence, recovery, and auditability</w:t>
      </w:r>
    </w:p>
    <w:p>
      <w:r>
        <w:t>v11.5 treats persistent state as part of the scientific contract. A transaction follows prepare → verify → commit. COMMITTED state is the authoritative completion truth; before-image data can be used to recover interrupted writes. The engine also records version, schema, configuration fingerprint, input inventory, grid shape/alignment, chunking, output inventory, progress, and timestamps.</w:t>
      </w:r>
    </w:p>
    <w:p>
      <w:pPr>
        <w:pStyle w:val="Heading1"/>
      </w:pPr>
      <w:r>
        <w:t>6. Production organization</w:t>
      </w:r>
    </w:p>
    <w:p>
      <w:r>
        <w:t>The v11.5 production design maintains separate decade products and a FULL_1981-2020 product. Downstream analytical tools consume frozen outputs rather than rewriting the core calculation whenever a fitting family, copula diagnostic, or visualization changes. This separation improves reproducibility and allows analytical methods to evolve independently of the base climatology.</w:t>
      </w:r>
    </w:p>
    <w:p>
      <w:pPr>
        <w:pStyle w:val="Heading1"/>
      </w:pPr>
      <w:r>
        <w:t>7. Validation and operational behavior</w:t>
      </w:r>
    </w:p>
    <w:p>
      <w:r>
        <w:t>The release baseline was exercised on real ERA5-Land data using the bounded pilot path. A January 2011 pilot over one spatial block processed 31/31 days successfully, including checkpoint flush and checkpoint reopen verification. Earlier one-day tests also confirmed input alignment and end-to-end block transaction behavior. These tests validate the execution path but do not replace the need for a full multidecade production run and final audit.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3A5F"/>
          </w:tcPr>
          <w:p>
            <w:r>
              <w:rPr>
                <w:b/>
              </w:rPr>
              <w:t>Validation item</w:t>
            </w:r>
          </w:p>
        </w:tc>
        <w:tc>
          <w:tcPr>
            <w:tcW w:type="dxa" w:w="5112"/>
            <w:shd w:fill="163A5F"/>
          </w:tcPr>
          <w:p>
            <w:r>
              <w:rPr>
                <w:b/>
              </w:rPr>
              <w:t>Observed v11.5 result</w:t>
            </w:r>
          </w:p>
        </w:tc>
      </w:tr>
      <w:tr>
        <w:tc>
          <w:tcPr>
            <w:tcW w:type="dxa" w:w="5112"/>
            <w:vAlign w:val="top"/>
          </w:tcPr>
          <w:p>
            <w:r>
              <w:t>ERA5-Land grid alignment</w:t>
            </w:r>
          </w:p>
        </w:tc>
        <w:tc>
          <w:tcPr>
            <w:tcW w:type="dxa" w:w="5112"/>
            <w:vAlign w:val="top"/>
          </w:tcPr>
          <w:p>
            <w:r>
              <w:t>PASS; D2m latitude reversal normalized to T2m reference</w:t>
            </w:r>
          </w:p>
        </w:tc>
      </w:tr>
      <w:tr>
        <w:tc>
          <w:tcPr>
            <w:tcW w:type="dxa" w:w="5112"/>
            <w:vAlign w:val="top"/>
          </w:tcPr>
          <w:p>
            <w:r>
              <w:t>Single-day real-data pilot</w:t>
            </w:r>
          </w:p>
        </w:tc>
        <w:tc>
          <w:tcPr>
            <w:tcW w:type="dxa" w:w="5112"/>
            <w:vAlign w:val="top"/>
          </w:tcPr>
          <w:p>
            <w:r>
              <w:t>PASS</w:t>
            </w:r>
          </w:p>
        </w:tc>
      </w:tr>
      <w:tr>
        <w:tc>
          <w:tcPr>
            <w:tcW w:type="dxa" w:w="5112"/>
            <w:vAlign w:val="top"/>
          </w:tcPr>
          <w:p>
            <w:r>
              <w:t>31-day real-data pilot</w:t>
            </w:r>
          </w:p>
        </w:tc>
        <w:tc>
          <w:tcPr>
            <w:tcW w:type="dxa" w:w="5112"/>
            <w:vAlign w:val="top"/>
          </w:tcPr>
          <w:p>
            <w:r>
              <w:t>31/31 PASS</w:t>
            </w:r>
          </w:p>
        </w:tc>
      </w:tr>
      <w:tr>
        <w:tc>
          <w:tcPr>
            <w:tcW w:type="dxa" w:w="5112"/>
            <w:vAlign w:val="top"/>
          </w:tcPr>
          <w:p>
            <w:r>
              <w:t>Checkpoint flush</w:t>
            </w:r>
          </w:p>
        </w:tc>
        <w:tc>
          <w:tcPr>
            <w:tcW w:type="dxa" w:w="5112"/>
            <w:vAlign w:val="top"/>
          </w:tcPr>
          <w:p>
            <w:r>
              <w:t>PASS</w:t>
            </w:r>
          </w:p>
        </w:tc>
      </w:tr>
      <w:tr>
        <w:tc>
          <w:tcPr>
            <w:tcW w:type="dxa" w:w="5112"/>
            <w:vAlign w:val="top"/>
          </w:tcPr>
          <w:p>
            <w:r>
              <w:t>Checkpoint reopen</w:t>
            </w:r>
          </w:p>
        </w:tc>
        <w:tc>
          <w:tcPr>
            <w:tcW w:type="dxa" w:w="5112"/>
            <w:vAlign w:val="top"/>
          </w:tcPr>
          <w:p>
            <w:r>
              <w:t>PASS</w:t>
            </w:r>
          </w:p>
        </w:tc>
      </w:tr>
    </w:tbl>
    <w:p/>
    <w:p>
      <w:pPr>
        <w:pStyle w:val="Heading1"/>
      </w:pPr>
      <w:r>
        <w:t>8. What v8 remains useful for</w:t>
      </w:r>
    </w:p>
    <w:p>
      <w:r>
        <w:t>v8 remains valuable as a historical and educational baseline. It is useful for explaining the project lineage, understanding which information was preserved or expanded, and providing a compact point of comparison for regression and methodological discussion. It should not be presented as the current production truth when v11.5 is the public release baseline.</w:t>
      </w:r>
    </w:p>
    <w:p>
      <w:pPr>
        <w:pStyle w:val="Heading1"/>
      </w:pPr>
      <w:r>
        <w:t>9. What v11.5 is appropriate for</w:t>
      </w:r>
    </w:p>
    <w:p>
      <w:r>
        <w:t>v11.5 is intended for researchers and engineers who need reproducible empirical moisture climatology from ERA5-Land inputs, explicit temporal structure, auditable summary statistics, paired dependence, empirical joint support, checkpointed long-running execution, and a stable output contract for downstream analysis.</w:t>
      </w:r>
    </w:p>
    <w:p>
      <w:pPr>
        <w:pStyle w:val="Heading1"/>
      </w:pPr>
      <w:r>
        <w:t>10. Migration guidance</w:t>
      </w:r>
    </w:p>
    <w:p>
      <w:pPr>
        <w:pStyle w:val="ListBullet"/>
      </w:pPr>
      <w:r>
        <w:t>Keep v8 outputs as historical reference data rather than overwriting them.</w:t>
      </w:r>
    </w:p>
    <w:p>
      <w:pPr>
        <w:pStyle w:val="ListBullet"/>
      </w:pPr>
      <w:r>
        <w:t>Validate the exact T2m/D2m/SP input inventory before beginning a long run.</w:t>
      </w:r>
    </w:p>
    <w:p>
      <w:pPr>
        <w:pStyle w:val="ListBullet"/>
      </w:pPr>
      <w:r>
        <w:t>Treat coordinate normalization as an explicit preprocessing contract, not as an implicit numerical coincidence.</w:t>
      </w:r>
    </w:p>
    <w:p>
      <w:pPr>
        <w:pStyle w:val="ListBullet"/>
      </w:pPr>
      <w:r>
        <w:t>Use the 33 temporal state bins and the separate 9-bin histogram state exactly as defined.</w:t>
      </w:r>
    </w:p>
    <w:p>
      <w:pPr>
        <w:pStyle w:val="ListBullet"/>
      </w:pPr>
      <w:r>
        <w:t>Do not recompute paired dependence from marginal summaries when pair-specific state is available.</w:t>
      </w:r>
    </w:p>
    <w:p>
      <w:pPr>
        <w:pStyle w:val="ListBullet"/>
      </w:pPr>
      <w:r>
        <w:t>Use checkpoint, journal, manifest, and audit outputs as authoritative operational evidence.</w:t>
      </w:r>
    </w:p>
    <w:p>
      <w:pPr>
        <w:pStyle w:val="Heading1"/>
      </w:pPr>
      <w:r>
        <w:t>11. Final comparison</w:t>
      </w:r>
    </w:p>
    <w:p>
      <w:r>
        <w:t>The most important difference between v8 and v11.5 is not a single new formula. It is the change from a compact processing workflow to an explicitly documented, information-preserving, mergeable, auditable climatology engine. v11.5 retains the core ERA5-Land scientific basis while exposing more of the temporal, statistical, dependence, persistence, and reproducibility structure needed for research production.</w:t>
      </w:r>
    </w:p>
    <w:p>
      <w:r>
        <w:rPr>
          <w:b/>
        </w:rPr>
        <w:t>Public release identity: HumidClimatologyEngine v11.5.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