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63A2" w14:textId="77777777" w:rsidR="00E5510A" w:rsidRDefault="00E5510A" w:rsidP="00E5510A">
      <w:pPr>
        <w:spacing w:after="80"/>
        <w:jc w:val="center"/>
      </w:pPr>
      <w:r>
        <w:rPr>
          <w:b/>
          <w:bCs/>
          <w:color w:val="FFFFFF"/>
          <w:sz w:val="18"/>
          <w:szCs w:val="18"/>
          <w:shd w:val="clear" w:color="auto" w:fill="2E75B6"/>
        </w:rPr>
        <w:t>GENERAL AUDIENCE</w:t>
      </w:r>
    </w:p>
    <w:p w14:paraId="4740093B" w14:textId="77777777" w:rsidR="00E5510A" w:rsidRDefault="00E5510A" w:rsidP="00E5510A">
      <w:pPr>
        <w:spacing w:after="80"/>
        <w:jc w:val="center"/>
      </w:pPr>
      <w:r>
        <w:rPr>
          <w:b/>
          <w:bCs/>
          <w:color w:val="1F4E79"/>
          <w:sz w:val="40"/>
          <w:szCs w:val="40"/>
        </w:rPr>
        <w:t>Non-Technical Executive Summary</w:t>
      </w:r>
    </w:p>
    <w:p w14:paraId="7EAEEBEE" w14:textId="77777777" w:rsidR="00E5510A" w:rsidRDefault="00E5510A" w:rsidP="00E5510A">
      <w:pPr>
        <w:spacing w:after="60"/>
        <w:jc w:val="center"/>
      </w:pPr>
      <w:r>
        <w:rPr>
          <w:sz w:val="24"/>
          <w:szCs w:val="24"/>
        </w:rPr>
        <w:t>Project 5: TCR Violations Across 5 States</w:t>
      </w:r>
    </w:p>
    <w:p w14:paraId="179DFEF4" w14:textId="7E02D05B" w:rsidR="00E5510A" w:rsidRDefault="00E5510A" w:rsidP="00E5510A">
      <w:pPr>
        <w:spacing w:after="400"/>
        <w:jc w:val="center"/>
      </w:pPr>
      <w:r>
        <w:rPr>
          <w:i/>
          <w:iCs/>
          <w:color w:val="666666"/>
          <w:sz w:val="20"/>
          <w:szCs w:val="20"/>
        </w:rPr>
        <w:t xml:space="preserve">Client: UMass Amherst Water Research </w:t>
      </w:r>
      <w:r>
        <w:rPr>
          <w:i/>
          <w:iCs/>
          <w:color w:val="666666"/>
          <w:sz w:val="20"/>
          <w:szCs w:val="20"/>
        </w:rPr>
        <w:t xml:space="preserve">Team </w:t>
      </w:r>
      <w:proofErr w:type="gramStart"/>
      <w:r>
        <w:rPr>
          <w:i/>
          <w:iCs/>
          <w:color w:val="666666"/>
          <w:sz w:val="20"/>
          <w:szCs w:val="20"/>
        </w:rPr>
        <w:t>|</w:t>
      </w:r>
      <w:r>
        <w:rPr>
          <w:i/>
          <w:iCs/>
          <w:color w:val="666666"/>
          <w:sz w:val="20"/>
          <w:szCs w:val="20"/>
        </w:rPr>
        <w:t xml:space="preserve">  April</w:t>
      </w:r>
      <w:proofErr w:type="gramEnd"/>
      <w:r>
        <w:rPr>
          <w:i/>
          <w:iCs/>
          <w:color w:val="666666"/>
          <w:sz w:val="20"/>
          <w:szCs w:val="20"/>
        </w:rPr>
        <w:t xml:space="preserve"> 2026</w:t>
      </w:r>
    </w:p>
    <w:p w14:paraId="234A82ED" w14:textId="77777777" w:rsidR="00E5510A" w:rsidRDefault="00E5510A" w:rsidP="00E5510A">
      <w:pPr>
        <w:pStyle w:val="Heading1"/>
      </w:pPr>
      <w:r>
        <w:rPr>
          <w:rFonts w:ascii="Arial" w:eastAsia="Arial" w:hAnsi="Arial" w:cs="Arial"/>
          <w:b/>
          <w:bCs/>
          <w:color w:val="1F4E79"/>
          <w:sz w:val="28"/>
          <w:szCs w:val="28"/>
        </w:rPr>
        <w:t>What We Did</w:t>
      </w:r>
    </w:p>
    <w:p w14:paraId="7C8D7EFB" w14:textId="77777777" w:rsidR="00E5510A" w:rsidRDefault="00E5510A" w:rsidP="00E5510A">
      <w:pPr>
        <w:spacing w:after="140"/>
      </w:pPr>
      <w:r>
        <w:t>Our team was hired by the UMass Amherst Water Research Team to investigate drinking water safety violations across five U.S. states. Specifically, we looked at Total Coliform Rule (TCR</w:t>
      </w:r>
      <w:proofErr w:type="gramStart"/>
      <w:r>
        <w:t>) violations —</w:t>
      </w:r>
      <w:proofErr w:type="gramEnd"/>
      <w:r>
        <w:t xml:space="preserve"> violations that occur when a water system fails to properly </w:t>
      </w:r>
      <w:proofErr w:type="gramStart"/>
      <w:r>
        <w:t>monitor for</w:t>
      </w:r>
      <w:proofErr w:type="gramEnd"/>
      <w:r>
        <w:t xml:space="preserve"> or control harmful bacteria in the water supply. We analyzed data from a national government database called SDWIS, which tracks the performance of public water systems across the country.</w:t>
      </w:r>
    </w:p>
    <w:p w14:paraId="5B4D6EEC" w14:textId="77777777" w:rsidR="00E5510A" w:rsidRDefault="00E5510A" w:rsidP="00E5510A">
      <w:pPr>
        <w:spacing w:after="140"/>
      </w:pPr>
      <w:r>
        <w:t>We selected five states from different regions of the U.S. — Maine, Georgia, Texas, Nebraska, and California — to get a broad picture of how TCR violations vary across the country.</w:t>
      </w:r>
    </w:p>
    <w:p w14:paraId="44A54ACC" w14:textId="77777777" w:rsidR="00E5510A" w:rsidRDefault="00E5510A" w:rsidP="00E5510A"/>
    <w:p w14:paraId="14333FA4" w14:textId="77777777" w:rsidR="00E5510A" w:rsidRDefault="00E5510A" w:rsidP="00E5510A">
      <w:pPr>
        <w:pStyle w:val="Heading1"/>
      </w:pPr>
      <w:r>
        <w:rPr>
          <w:rFonts w:ascii="Arial" w:eastAsia="Arial" w:hAnsi="Arial" w:cs="Arial"/>
          <w:b/>
          <w:bCs/>
          <w:color w:val="1F4E79"/>
          <w:sz w:val="28"/>
          <w:szCs w:val="28"/>
        </w:rPr>
        <w:t>What We Found</w:t>
      </w:r>
    </w:p>
    <w:p w14:paraId="0D1D2DA7" w14:textId="77777777" w:rsidR="00E5510A" w:rsidRDefault="00E5510A" w:rsidP="00E5510A">
      <w:pPr>
        <w:pStyle w:val="Heading2"/>
      </w:pPr>
      <w:r>
        <w:rPr>
          <w:rFonts w:ascii="Arial" w:eastAsia="Arial" w:hAnsi="Arial" w:cs="Arial"/>
          <w:b/>
          <w:bCs/>
          <w:color w:val="2E75B6"/>
          <w:sz w:val="24"/>
          <w:szCs w:val="24"/>
        </w:rPr>
        <w:t>Some states have more violations than others</w:t>
      </w:r>
    </w:p>
    <w:p w14:paraId="336D268D" w14:textId="77777777" w:rsidR="00E5510A" w:rsidRDefault="00E5510A" w:rsidP="00E5510A">
      <w:pPr>
        <w:spacing w:after="140"/>
      </w:pPr>
      <w:r>
        <w:t>California and Texas had the highest total number of violations among the five states. This is largely because both states have a large number of state-owned water systems, including rest stops, correctional facilities, and state parks — many of which are small and remotely located, making regular maintenance and monitoring more challenging.</w:t>
      </w:r>
    </w:p>
    <w:p w14:paraId="7D6CC29D" w14:textId="77777777" w:rsidR="00E5510A" w:rsidRDefault="00E5510A" w:rsidP="00E5510A">
      <w:pPr>
        <w:pStyle w:val="Heading2"/>
      </w:pPr>
      <w:r>
        <w:rPr>
          <w:rFonts w:ascii="Arial" w:eastAsia="Arial" w:hAnsi="Arial" w:cs="Arial"/>
          <w:b/>
          <w:bCs/>
          <w:color w:val="2E75B6"/>
          <w:sz w:val="24"/>
          <w:szCs w:val="24"/>
        </w:rPr>
        <w:t>Smaller water systems struggle more with compliance</w:t>
      </w:r>
    </w:p>
    <w:p w14:paraId="5073079B" w14:textId="77777777" w:rsidR="00E5510A" w:rsidRDefault="00E5510A" w:rsidP="00E5510A">
      <w:pPr>
        <w:spacing w:after="140"/>
      </w:pPr>
      <w:r>
        <w:t xml:space="preserve">One of the most important findings from our analysis is that small water </w:t>
      </w:r>
      <w:proofErr w:type="gramStart"/>
      <w:r>
        <w:t>systems — those</w:t>
      </w:r>
      <w:proofErr w:type="gramEnd"/>
      <w:r>
        <w:t xml:space="preserve"> serving 10,000 people or fewer — tend to have more violations per system than large water systems. This is not surprising: large water systems typically have more staff, more funding, and better equipment to monitor and maintain safe drinking water. Smaller systems, especially in rural areas, often lack these resources, making it harder to stay in compliance with federal regulations.</w:t>
      </w:r>
    </w:p>
    <w:p w14:paraId="67F7A7D6" w14:textId="77777777" w:rsidR="00E5510A" w:rsidRDefault="00E5510A" w:rsidP="00E5510A"/>
    <w:p w14:paraId="22EEB77A" w14:textId="77777777" w:rsidR="00E5510A" w:rsidRDefault="00E5510A" w:rsidP="00E5510A">
      <w:pPr>
        <w:pStyle w:val="Heading1"/>
      </w:pPr>
      <w:r>
        <w:rPr>
          <w:rFonts w:ascii="Arial" w:eastAsia="Arial" w:hAnsi="Arial" w:cs="Arial"/>
          <w:b/>
          <w:bCs/>
          <w:color w:val="1F4E79"/>
          <w:sz w:val="28"/>
          <w:szCs w:val="28"/>
        </w:rPr>
        <w:t>Why This Matters</w:t>
      </w:r>
    </w:p>
    <w:p w14:paraId="3B018B07" w14:textId="77777777" w:rsidR="00E5510A" w:rsidRDefault="00E5510A" w:rsidP="00E5510A">
      <w:pPr>
        <w:spacing w:after="140"/>
      </w:pPr>
      <w:r>
        <w:t>Drinking water safety is a public health issue that affects everyone. When a water system violates the Total Coliform Rule, it can signal that harmful bacteria may be present in the water supply, putting residents — especially children, elderly individuals, and people with weakened immune systems — at risk.</w:t>
      </w:r>
    </w:p>
    <w:p w14:paraId="453F5EDD" w14:textId="77777777" w:rsidR="00E5510A" w:rsidRDefault="00E5510A" w:rsidP="00E5510A">
      <w:pPr>
        <w:spacing w:after="140"/>
      </w:pPr>
      <w:r>
        <w:t xml:space="preserve">Understanding which states and which types of systems are most at risk for violations can help regulators and </w:t>
      </w:r>
      <w:proofErr w:type="gramStart"/>
      <w:r>
        <w:t>policymakers</w:t>
      </w:r>
      <w:proofErr w:type="gramEnd"/>
      <w:r>
        <w:t xml:space="preserve"> direct resources and support where they are needed most.</w:t>
      </w:r>
    </w:p>
    <w:p w14:paraId="2B271D87" w14:textId="77777777" w:rsidR="00E5510A" w:rsidRDefault="00E5510A" w:rsidP="00E5510A"/>
    <w:p w14:paraId="16A48456" w14:textId="77777777" w:rsidR="00E5510A" w:rsidRDefault="00E5510A" w:rsidP="00E5510A">
      <w:pPr>
        <w:pStyle w:val="Heading1"/>
      </w:pPr>
      <w:r>
        <w:rPr>
          <w:rFonts w:ascii="Arial" w:eastAsia="Arial" w:hAnsi="Arial" w:cs="Arial"/>
          <w:b/>
          <w:bCs/>
          <w:color w:val="1F4E79"/>
          <w:sz w:val="28"/>
          <w:szCs w:val="28"/>
        </w:rPr>
        <w:lastRenderedPageBreak/>
        <w:t>What We Recommend</w:t>
      </w:r>
    </w:p>
    <w:p w14:paraId="407584E0" w14:textId="77777777" w:rsidR="00E5510A" w:rsidRDefault="00E5510A" w:rsidP="00E5510A">
      <w:pPr>
        <w:pStyle w:val="ListParagraph"/>
        <w:numPr>
          <w:ilvl w:val="0"/>
          <w:numId w:val="1"/>
        </w:numPr>
        <w:spacing w:after="80"/>
        <w:contextualSpacing w:val="0"/>
      </w:pPr>
      <w:r>
        <w:t>Prioritize support for small water systems, particularly in rural areas, by providing additional technical and financial assistance</w:t>
      </w:r>
    </w:p>
    <w:p w14:paraId="7777509A" w14:textId="77777777" w:rsidR="00E5510A" w:rsidRDefault="00E5510A" w:rsidP="00E5510A">
      <w:pPr>
        <w:pStyle w:val="ListParagraph"/>
        <w:numPr>
          <w:ilvl w:val="0"/>
          <w:numId w:val="1"/>
        </w:numPr>
        <w:spacing w:after="80"/>
        <w:contextualSpacing w:val="0"/>
      </w:pPr>
      <w:r>
        <w:t>Conduct further analysis using multiple years of data to identify trends over time</w:t>
      </w:r>
    </w:p>
    <w:p w14:paraId="375C0BDF" w14:textId="77777777" w:rsidR="00E5510A" w:rsidRDefault="00E5510A" w:rsidP="00E5510A">
      <w:pPr>
        <w:pStyle w:val="ListParagraph"/>
        <w:numPr>
          <w:ilvl w:val="0"/>
          <w:numId w:val="1"/>
        </w:numPr>
        <w:spacing w:after="80"/>
        <w:contextualSpacing w:val="0"/>
      </w:pPr>
      <w:r>
        <w:t>Expand the analysis to include all owner types (not just state-owned systems) for a more complete picture</w:t>
      </w:r>
    </w:p>
    <w:p w14:paraId="61404174" w14:textId="77777777" w:rsidR="00E5510A" w:rsidRDefault="00E5510A" w:rsidP="00E5510A">
      <w:pPr>
        <w:pStyle w:val="ListParagraph"/>
        <w:numPr>
          <w:ilvl w:val="0"/>
          <w:numId w:val="1"/>
        </w:numPr>
        <w:spacing w:after="80"/>
        <w:contextualSpacing w:val="0"/>
      </w:pPr>
      <w:r>
        <w:t>Investigate specific violation types to distinguish monitoring violations from actual coliform detections</w:t>
      </w:r>
    </w:p>
    <w:p w14:paraId="791BD801" w14:textId="77777777" w:rsidR="00E5510A" w:rsidRDefault="00E5510A" w:rsidP="00E5510A"/>
    <w:p w14:paraId="3C3A888A" w14:textId="77777777" w:rsidR="00E5510A" w:rsidRDefault="00E5510A" w:rsidP="00E5510A">
      <w:pPr>
        <w:pStyle w:val="Heading1"/>
      </w:pPr>
      <w:r>
        <w:rPr>
          <w:rFonts w:ascii="Arial" w:eastAsia="Arial" w:hAnsi="Arial" w:cs="Arial"/>
          <w:b/>
          <w:bCs/>
          <w:color w:val="1F4E79"/>
          <w:sz w:val="28"/>
          <w:szCs w:val="28"/>
        </w:rPr>
        <w:t>Data Source</w:t>
      </w:r>
    </w:p>
    <w:p w14:paraId="3AF4017D" w14:textId="4D0036C8" w:rsidR="00334765" w:rsidRDefault="00E5510A" w:rsidP="00E5510A">
      <w:pPr>
        <w:spacing w:after="140"/>
      </w:pPr>
      <w:r>
        <w:t>All data was obtained from the U.S. EPA's Safe Drinking Water Information System (SDWIS) Federal Reports database, a publicly available government resource that tracks violations and compliance for public water systems across the United States.</w:t>
      </w:r>
    </w:p>
    <w:sectPr w:rsidR="00334765" w:rsidSect="00E551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C48"/>
    <w:multiLevelType w:val="hybridMultilevel"/>
    <w:tmpl w:val="AB460C9E"/>
    <w:lvl w:ilvl="0" w:tplc="78D4D054">
      <w:start w:val="1"/>
      <w:numFmt w:val="bullet"/>
      <w:lvlText w:val="•"/>
      <w:lvlJc w:val="left"/>
      <w:pPr>
        <w:ind w:left="720" w:hanging="360"/>
      </w:pPr>
    </w:lvl>
    <w:lvl w:ilvl="1" w:tplc="E36AFB8E">
      <w:numFmt w:val="decimal"/>
      <w:lvlText w:val=""/>
      <w:lvlJc w:val="left"/>
    </w:lvl>
    <w:lvl w:ilvl="2" w:tplc="1EB69984">
      <w:numFmt w:val="decimal"/>
      <w:lvlText w:val=""/>
      <w:lvlJc w:val="left"/>
    </w:lvl>
    <w:lvl w:ilvl="3" w:tplc="CA18A62E">
      <w:numFmt w:val="decimal"/>
      <w:lvlText w:val=""/>
      <w:lvlJc w:val="left"/>
    </w:lvl>
    <w:lvl w:ilvl="4" w:tplc="9F5627E2">
      <w:numFmt w:val="decimal"/>
      <w:lvlText w:val=""/>
      <w:lvlJc w:val="left"/>
    </w:lvl>
    <w:lvl w:ilvl="5" w:tplc="578AB260">
      <w:numFmt w:val="decimal"/>
      <w:lvlText w:val=""/>
      <w:lvlJc w:val="left"/>
    </w:lvl>
    <w:lvl w:ilvl="6" w:tplc="851AA6D8">
      <w:numFmt w:val="decimal"/>
      <w:lvlText w:val=""/>
      <w:lvlJc w:val="left"/>
    </w:lvl>
    <w:lvl w:ilvl="7" w:tplc="371CB66E">
      <w:numFmt w:val="decimal"/>
      <w:lvlText w:val=""/>
      <w:lvlJc w:val="left"/>
    </w:lvl>
    <w:lvl w:ilvl="8" w:tplc="26200418">
      <w:numFmt w:val="decimal"/>
      <w:lvlText w:val=""/>
      <w:lvlJc w:val="left"/>
    </w:lvl>
  </w:abstractNum>
  <w:num w:numId="1" w16cid:durableId="737558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765"/>
    <w:rsid w:val="002E12E2"/>
    <w:rsid w:val="00334765"/>
    <w:rsid w:val="00456826"/>
    <w:rsid w:val="00AE062C"/>
    <w:rsid w:val="00E5510A"/>
    <w:rsid w:val="00EA4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2D19"/>
  <w15:chartTrackingRefBased/>
  <w15:docId w15:val="{192A9D28-49E6-4DB2-9113-D95B2144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0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34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4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7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7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7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7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765"/>
    <w:rPr>
      <w:rFonts w:eastAsiaTheme="majorEastAsia" w:cstheme="majorBidi"/>
      <w:color w:val="272727" w:themeColor="text1" w:themeTint="D8"/>
    </w:rPr>
  </w:style>
  <w:style w:type="paragraph" w:styleId="Title">
    <w:name w:val="Title"/>
    <w:basedOn w:val="Normal"/>
    <w:next w:val="Normal"/>
    <w:link w:val="TitleChar"/>
    <w:uiPriority w:val="10"/>
    <w:qFormat/>
    <w:rsid w:val="003347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765"/>
    <w:pPr>
      <w:spacing w:before="160"/>
      <w:jc w:val="center"/>
    </w:pPr>
    <w:rPr>
      <w:i/>
      <w:iCs/>
      <w:color w:val="404040" w:themeColor="text1" w:themeTint="BF"/>
    </w:rPr>
  </w:style>
  <w:style w:type="character" w:customStyle="1" w:styleId="QuoteChar">
    <w:name w:val="Quote Char"/>
    <w:basedOn w:val="DefaultParagraphFont"/>
    <w:link w:val="Quote"/>
    <w:uiPriority w:val="29"/>
    <w:rsid w:val="00334765"/>
    <w:rPr>
      <w:i/>
      <w:iCs/>
      <w:color w:val="404040" w:themeColor="text1" w:themeTint="BF"/>
    </w:rPr>
  </w:style>
  <w:style w:type="paragraph" w:styleId="ListParagraph">
    <w:name w:val="List Paragraph"/>
    <w:basedOn w:val="Normal"/>
    <w:qFormat/>
    <w:rsid w:val="00334765"/>
    <w:pPr>
      <w:ind w:left="720"/>
      <w:contextualSpacing/>
    </w:pPr>
  </w:style>
  <w:style w:type="character" w:styleId="IntenseEmphasis">
    <w:name w:val="Intense Emphasis"/>
    <w:basedOn w:val="DefaultParagraphFont"/>
    <w:uiPriority w:val="21"/>
    <w:qFormat/>
    <w:rsid w:val="00334765"/>
    <w:rPr>
      <w:i/>
      <w:iCs/>
      <w:color w:val="0F4761" w:themeColor="accent1" w:themeShade="BF"/>
    </w:rPr>
  </w:style>
  <w:style w:type="paragraph" w:styleId="IntenseQuote">
    <w:name w:val="Intense Quote"/>
    <w:basedOn w:val="Normal"/>
    <w:next w:val="Normal"/>
    <w:link w:val="IntenseQuoteChar"/>
    <w:uiPriority w:val="30"/>
    <w:qFormat/>
    <w:rsid w:val="00334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765"/>
    <w:rPr>
      <w:i/>
      <w:iCs/>
      <w:color w:val="0F4761" w:themeColor="accent1" w:themeShade="BF"/>
    </w:rPr>
  </w:style>
  <w:style w:type="character" w:styleId="IntenseReference">
    <w:name w:val="Intense Reference"/>
    <w:basedOn w:val="DefaultParagraphFont"/>
    <w:uiPriority w:val="32"/>
    <w:qFormat/>
    <w:rsid w:val="00334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ad50afbc64d3e12d3c0b5667ecf30f36">
  <xsd:schema xmlns:xsd="http://www.w3.org/2001/XMLSchema" xmlns:xs="http://www.w3.org/2001/XMLSchema" xmlns:p="http://schemas.microsoft.com/office/2006/metadata/properties" xmlns:ns3="d94ee4e4-02cb-4da0-9dbe-ce518434d583" targetNamespace="http://schemas.microsoft.com/office/2006/metadata/properties" ma:root="true" ma:fieldsID="bd8b4355b4eda57f1b7484e8863ac600"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Props1.xml><?xml version="1.0" encoding="utf-8"?>
<ds:datastoreItem xmlns:ds="http://schemas.openxmlformats.org/officeDocument/2006/customXml" ds:itemID="{F1D0DF37-032A-446C-9FD1-00CC0B166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DF3BF-136E-4C7B-958C-7C0FFE031BBE}">
  <ds:schemaRefs>
    <ds:schemaRef ds:uri="http://schemas.microsoft.com/sharepoint/v3/contenttype/forms"/>
  </ds:schemaRefs>
</ds:datastoreItem>
</file>

<file path=customXml/itemProps3.xml><?xml version="1.0" encoding="utf-8"?>
<ds:datastoreItem xmlns:ds="http://schemas.openxmlformats.org/officeDocument/2006/customXml" ds:itemID="{550349BC-9A7E-4DDA-B30A-382B855F6E27}">
  <ds:schemaRefs>
    <ds:schemaRef ds:uri="http://schemas.microsoft.com/office/2006/metadata/properties"/>
    <ds:schemaRef ds:uri="http://schemas.microsoft.com/office/infopath/2007/PartnerControls"/>
    <ds:schemaRef ds:uri="d94ee4e4-02cb-4da0-9dbe-ce518434d58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Aminasahra Warsame</dc:creator>
  <cp:keywords/>
  <dc:description/>
  <cp:lastModifiedBy>Aminasahra Warsame</cp:lastModifiedBy>
  <cp:revision>2</cp:revision>
  <dcterms:created xsi:type="dcterms:W3CDTF">2026-05-06T19:09:00Z</dcterms:created>
  <dcterms:modified xsi:type="dcterms:W3CDTF">2026-05-06T19:09:00Z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