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9369" w14:textId="77777777" w:rsidR="00003AAC" w:rsidRDefault="00BF5818">
      <w:pPr>
        <w:spacing w:after="80"/>
        <w:jc w:val="center"/>
      </w:pPr>
      <w:r>
        <w:rPr>
          <w:b/>
          <w:bCs/>
          <w:color w:val="FFFFFF"/>
          <w:sz w:val="18"/>
          <w:szCs w:val="18"/>
          <w:shd w:val="clear" w:color="auto" w:fill="2E75B6"/>
        </w:rPr>
        <w:t>TECHNICAL AUDIENCE</w:t>
      </w:r>
    </w:p>
    <w:p w14:paraId="65E7FBA2" w14:textId="77777777" w:rsidR="00003AAC" w:rsidRDefault="00BF5818">
      <w:pPr>
        <w:spacing w:after="80"/>
        <w:jc w:val="center"/>
      </w:pPr>
      <w:r>
        <w:rPr>
          <w:b/>
          <w:bCs/>
          <w:color w:val="1F4E79"/>
          <w:sz w:val="40"/>
          <w:szCs w:val="40"/>
        </w:rPr>
        <w:t>Technical Executive Summary</w:t>
      </w:r>
    </w:p>
    <w:p w14:paraId="0FAD638D" w14:textId="77777777" w:rsidR="00003AAC" w:rsidRDefault="00BF5818">
      <w:pPr>
        <w:spacing w:after="60"/>
        <w:jc w:val="center"/>
      </w:pPr>
      <w:r>
        <w:rPr>
          <w:sz w:val="24"/>
          <w:szCs w:val="24"/>
        </w:rPr>
        <w:t>Project 5: TCR Violations Across 5 States</w:t>
      </w:r>
    </w:p>
    <w:p w14:paraId="09D0C8B4" w14:textId="77777777" w:rsidR="00003AAC" w:rsidRDefault="00BF5818">
      <w:pPr>
        <w:spacing w:after="400"/>
        <w:jc w:val="center"/>
      </w:pPr>
      <w:r>
        <w:rPr>
          <w:i/>
          <w:iCs/>
          <w:color w:val="666666"/>
          <w:sz w:val="20"/>
          <w:szCs w:val="20"/>
        </w:rPr>
        <w:t xml:space="preserve">Client: UMass Amherst Water Research </w:t>
      </w:r>
      <w:proofErr w:type="gramStart"/>
      <w:r>
        <w:rPr>
          <w:i/>
          <w:iCs/>
          <w:color w:val="666666"/>
          <w:sz w:val="20"/>
          <w:szCs w:val="20"/>
        </w:rPr>
        <w:t>Team  |</w:t>
      </w:r>
      <w:proofErr w:type="gramEnd"/>
      <w:r>
        <w:rPr>
          <w:i/>
          <w:iCs/>
          <w:color w:val="666666"/>
          <w:sz w:val="20"/>
          <w:szCs w:val="20"/>
        </w:rPr>
        <w:t xml:space="preserve">  April 2026</w:t>
      </w:r>
    </w:p>
    <w:p w14:paraId="29B068E0" w14:textId="77777777" w:rsidR="00003AAC" w:rsidRDefault="00BF5818">
      <w:pPr>
        <w:pStyle w:val="Heading1"/>
      </w:pPr>
      <w:r>
        <w:t>1. Overview</w:t>
      </w:r>
    </w:p>
    <w:p w14:paraId="6FB417CA" w14:textId="77777777" w:rsidR="00003AAC" w:rsidRDefault="00BF5818">
      <w:pPr>
        <w:spacing w:after="140"/>
      </w:pPr>
      <w:r>
        <w:t xml:space="preserve">This report presents the findings of a data analysis of Total Coliform Rule (TCR) violations across five states — Maine, Georgia, Texas, Nebraska, and California — representing EPA Regions 1, 4, 6, 7, and 9 respectively. Violation data was obtained from the Safe Drinking Water Information System (SDWIS) Federal Reports database for Q1 2026. The analysis focused on state-owned active public water systems and examined differences in violation counts across states and between small (population served ≤10,000) </w:t>
      </w:r>
      <w:r>
        <w:t>and large (population served &gt;10,000) systems.</w:t>
      </w:r>
    </w:p>
    <w:p w14:paraId="6B0185FC" w14:textId="77777777" w:rsidR="00003AAC" w:rsidRDefault="00003AAC"/>
    <w:p w14:paraId="347DFA13" w14:textId="77777777" w:rsidR="00003AAC" w:rsidRDefault="00BF5818">
      <w:pPr>
        <w:pStyle w:val="Heading1"/>
      </w:pPr>
      <w:r>
        <w:t>2. Methods</w:t>
      </w:r>
    </w:p>
    <w:p w14:paraId="5FEF8989" w14:textId="77777777" w:rsidR="00003AAC" w:rsidRDefault="00BF5818">
      <w:pPr>
        <w:spacing w:after="140"/>
      </w:pPr>
      <w:r>
        <w:t>Data from five SDWIS Water System Summary CSV files were imported and cleaned using Python (</w:t>
      </w:r>
      <w:proofErr w:type="gramStart"/>
      <w:r>
        <w:t>pandas</w:t>
      </w:r>
      <w:proofErr w:type="gramEnd"/>
      <w:r>
        <w:t xml:space="preserve"> library). A custom function, </w:t>
      </w:r>
      <w:proofErr w:type="spellStart"/>
      <w:r>
        <w:t>classify_</w:t>
      </w:r>
      <w:proofErr w:type="gramStart"/>
      <w:r>
        <w:t>size</w:t>
      </w:r>
      <w:proofErr w:type="spellEnd"/>
      <w:r>
        <w:t>(</w:t>
      </w:r>
      <w:proofErr w:type="gramEnd"/>
      <w:r>
        <w:t xml:space="preserve">), was defined to classify each system as small or large based on EPA population thresholds. Summary statistics — including total violations, mean violations per system, median violations, and violations per system — were computed by state and by system size category. Three figures were produced using matplotlib and </w:t>
      </w:r>
      <w:proofErr w:type="spellStart"/>
      <w:r>
        <w:t>geopandas</w:t>
      </w:r>
      <w:proofErr w:type="spellEnd"/>
      <w:r>
        <w:t>:</w:t>
      </w:r>
    </w:p>
    <w:p w14:paraId="037C366C" w14:textId="77777777" w:rsidR="00003AAC" w:rsidRDefault="00BF5818">
      <w:pPr>
        <w:pStyle w:val="ListParagraph"/>
        <w:numPr>
          <w:ilvl w:val="0"/>
          <w:numId w:val="2"/>
        </w:numPr>
        <w:spacing w:after="80"/>
      </w:pPr>
      <w:r>
        <w:t>Figure 1: Bar charts of total violations and average violations per system by state</w:t>
      </w:r>
    </w:p>
    <w:p w14:paraId="4F40850E" w14:textId="77777777" w:rsidR="00003AAC" w:rsidRDefault="00BF5818">
      <w:pPr>
        <w:pStyle w:val="ListParagraph"/>
        <w:numPr>
          <w:ilvl w:val="0"/>
          <w:numId w:val="2"/>
        </w:numPr>
        <w:spacing w:after="80"/>
      </w:pPr>
      <w:r>
        <w:t>Figure 2: Grouped bar charts comparing small vs. large system violations by state</w:t>
      </w:r>
    </w:p>
    <w:p w14:paraId="793D5049" w14:textId="77777777" w:rsidR="00003AAC" w:rsidRDefault="00BF5818">
      <w:pPr>
        <w:pStyle w:val="ListParagraph"/>
        <w:numPr>
          <w:ilvl w:val="0"/>
          <w:numId w:val="2"/>
        </w:numPr>
        <w:spacing w:after="80"/>
      </w:pPr>
      <w:r>
        <w:t>Figure 3: Choropleth map of the contiguous United States highlighting violation counts in the five study states</w:t>
      </w:r>
    </w:p>
    <w:p w14:paraId="403DF76E" w14:textId="77777777" w:rsidR="00003AAC" w:rsidRDefault="00003AAC"/>
    <w:p w14:paraId="244A1AFE" w14:textId="77777777" w:rsidR="00003AAC" w:rsidRDefault="00BF5818">
      <w:pPr>
        <w:pStyle w:val="Heading1"/>
      </w:pPr>
      <w:r>
        <w:t>3. Results</w:t>
      </w:r>
    </w:p>
    <w:p w14:paraId="49FA488E" w14:textId="77777777" w:rsidR="00003AAC" w:rsidRDefault="00BF5818">
      <w:pPr>
        <w:pStyle w:val="Heading2"/>
      </w:pPr>
      <w:r>
        <w:t>3.1 Violations by State</w:t>
      </w:r>
    </w:p>
    <w:p w14:paraId="21BE57F7" w14:textId="77777777" w:rsidR="00003AAC" w:rsidRDefault="00BF5818">
      <w:pPr>
        <w:spacing w:after="140"/>
      </w:pPr>
      <w:r>
        <w:t>California had the highest total number of violations, driven by a large number of state-owned facilities including correctional institutions, rest areas, and state parks. Texas similarly showed high totals due to numerous TXDOT rest areas and state-supported living centers. Maine and Nebraska had the fewest systems and the lowest total violations. When normalized by the number of systems in each state, the per-system violation rate provides a more equitable comparison across states of different sizes.</w:t>
      </w:r>
    </w:p>
    <w:p w14:paraId="1E41532F" w14:textId="77777777" w:rsidR="00003AAC" w:rsidRDefault="00BF5818">
      <w:pPr>
        <w:pStyle w:val="Heading2"/>
      </w:pPr>
      <w:r>
        <w:t>3.2 Small vs. Large Systems</w:t>
      </w:r>
    </w:p>
    <w:p w14:paraId="4B20EB3F" w14:textId="77777777" w:rsidR="00003AAC" w:rsidRDefault="00BF5818">
      <w:pPr>
        <w:spacing w:after="140"/>
      </w:pPr>
      <w:r>
        <w:t xml:space="preserve">Small water systems dominated the dataset across all five states, consistent with national SDWIS data distributions. Small systems consistently exhibited higher average violations per system compared to large systems. This finding aligns with Allaire et al. (2018), who demonstrated that small systems are disproportionately prone to violations due to limited technical, managerial, and financial (TMF) capacity. Large systems benefit from dedicated water </w:t>
      </w:r>
      <w:r>
        <w:lastRenderedPageBreak/>
        <w:t>quality staff, automated monitoring, and greater financial resources for infrastructure maintenance.</w:t>
      </w:r>
    </w:p>
    <w:p w14:paraId="48ED9A11" w14:textId="77777777" w:rsidR="00003AAC" w:rsidRDefault="00003AAC"/>
    <w:p w14:paraId="5E3C5145" w14:textId="77777777" w:rsidR="00003AAC" w:rsidRDefault="00BF5818">
      <w:pPr>
        <w:pStyle w:val="Heading1"/>
      </w:pPr>
      <w:r>
        <w:t>4. Coding Bias and Analytical Limitations</w:t>
      </w:r>
    </w:p>
    <w:p w14:paraId="4B06AEC4" w14:textId="77777777" w:rsidR="00003AAC" w:rsidRDefault="00BF5818">
      <w:pPr>
        <w:pStyle w:val="ListParagraph"/>
        <w:numPr>
          <w:ilvl w:val="0"/>
          <w:numId w:val="2"/>
        </w:numPr>
        <w:spacing w:after="80"/>
      </w:pPr>
      <w:r>
        <w:t>Owner type filter: Only state-owned systems were included, excluding privately and municipally owned systems. This overrepresents parks, prisons, and government facilities relative to typical community water systems.</w:t>
      </w:r>
    </w:p>
    <w:p w14:paraId="5A6B61DA" w14:textId="77777777" w:rsidR="00003AAC" w:rsidRDefault="00BF5818">
      <w:pPr>
        <w:pStyle w:val="ListParagraph"/>
        <w:numPr>
          <w:ilvl w:val="0"/>
          <w:numId w:val="2"/>
        </w:numPr>
        <w:spacing w:after="80"/>
      </w:pPr>
      <w:r>
        <w:t>Temporal scope: The dataset covers Q1 2026 only. Seasonal variation in coliform bacteria is well documented, with warmer months typically producing higher detection rates (EPA, 2023).</w:t>
      </w:r>
    </w:p>
    <w:p w14:paraId="6495E16D" w14:textId="77777777" w:rsidR="00003AAC" w:rsidRDefault="00BF5818">
      <w:pPr>
        <w:pStyle w:val="ListParagraph"/>
        <w:numPr>
          <w:ilvl w:val="0"/>
          <w:numId w:val="2"/>
        </w:numPr>
        <w:spacing w:after="80"/>
      </w:pPr>
      <w:r>
        <w:t>Size classification: The 10,000-person EPA threshold is standard but may not reflect operational capacity differences across all system types.</w:t>
      </w:r>
    </w:p>
    <w:p w14:paraId="64F60EC0" w14:textId="77777777" w:rsidR="00003AAC" w:rsidRDefault="00BF5818">
      <w:pPr>
        <w:pStyle w:val="ListParagraph"/>
        <w:numPr>
          <w:ilvl w:val="0"/>
          <w:numId w:val="2"/>
        </w:numPr>
        <w:spacing w:after="80"/>
      </w:pPr>
      <w:r>
        <w:t>Violation types: The dataset includes all violation types, not exclusively TCR coliform detections. Future analysis should filter by violation code.</w:t>
      </w:r>
    </w:p>
    <w:p w14:paraId="4EA0DB21" w14:textId="77777777" w:rsidR="00003AAC" w:rsidRDefault="00003AAC"/>
    <w:p w14:paraId="0C0352BD" w14:textId="77777777" w:rsidR="00003AAC" w:rsidRDefault="00BF5818">
      <w:pPr>
        <w:pStyle w:val="Heading1"/>
      </w:pPr>
      <w:r>
        <w:t>5. References</w:t>
      </w:r>
    </w:p>
    <w:p w14:paraId="7689D6A7" w14:textId="77777777" w:rsidR="00003AAC" w:rsidRDefault="00BF5818">
      <w:pPr>
        <w:spacing w:after="140"/>
      </w:pPr>
      <w:r>
        <w:t>Allaire, M., Wu, H., &amp; Lall, U. (2018). National trends in drinking water quality violations. PNAS, 115(9), 2078-2083.</w:t>
      </w:r>
    </w:p>
    <w:p w14:paraId="20FCB523" w14:textId="77777777" w:rsidR="00003AAC" w:rsidRDefault="00BF5818">
      <w:pPr>
        <w:spacing w:after="140"/>
      </w:pPr>
      <w:r>
        <w:t>U.S. EPA. (2017). Drinking Water and Wastewater Utility Small Systems. EPA 816-F-17-003.</w:t>
      </w:r>
    </w:p>
    <w:p w14:paraId="19BDCBEB" w14:textId="77777777" w:rsidR="00003AAC" w:rsidRDefault="00BF5818">
      <w:pPr>
        <w:spacing w:after="140"/>
      </w:pPr>
      <w:r>
        <w:t>U.S. EPA. (2023). Total Coliform Rule. https://www.epa.gov/dwreginfo/total-coliform-rule</w:t>
      </w:r>
    </w:p>
    <w:p w14:paraId="2144C5CC" w14:textId="77777777" w:rsidR="00003AAC" w:rsidRDefault="00BF5818">
      <w:pPr>
        <w:spacing w:after="140"/>
      </w:pPr>
      <w:r>
        <w:t>SDWIS Federal Reports. (2026). Water System Summary. https://sdwis.epa.gov</w:t>
      </w:r>
    </w:p>
    <w:p w14:paraId="6E7D69F1" w14:textId="19694E1D" w:rsidR="00003AAC" w:rsidRDefault="00003AAC"/>
    <w:sectPr w:rsidR="00003A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C48"/>
    <w:multiLevelType w:val="hybridMultilevel"/>
    <w:tmpl w:val="AB460C9E"/>
    <w:lvl w:ilvl="0" w:tplc="78D4D054">
      <w:start w:val="1"/>
      <w:numFmt w:val="bullet"/>
      <w:lvlText w:val="•"/>
      <w:lvlJc w:val="left"/>
      <w:pPr>
        <w:ind w:left="720" w:hanging="360"/>
      </w:pPr>
    </w:lvl>
    <w:lvl w:ilvl="1" w:tplc="E36AFB8E">
      <w:numFmt w:val="decimal"/>
      <w:lvlText w:val=""/>
      <w:lvlJc w:val="left"/>
    </w:lvl>
    <w:lvl w:ilvl="2" w:tplc="1EB69984">
      <w:numFmt w:val="decimal"/>
      <w:lvlText w:val=""/>
      <w:lvlJc w:val="left"/>
    </w:lvl>
    <w:lvl w:ilvl="3" w:tplc="CA18A62E">
      <w:numFmt w:val="decimal"/>
      <w:lvlText w:val=""/>
      <w:lvlJc w:val="left"/>
    </w:lvl>
    <w:lvl w:ilvl="4" w:tplc="9F5627E2">
      <w:numFmt w:val="decimal"/>
      <w:lvlText w:val=""/>
      <w:lvlJc w:val="left"/>
    </w:lvl>
    <w:lvl w:ilvl="5" w:tplc="578AB260">
      <w:numFmt w:val="decimal"/>
      <w:lvlText w:val=""/>
      <w:lvlJc w:val="left"/>
    </w:lvl>
    <w:lvl w:ilvl="6" w:tplc="851AA6D8">
      <w:numFmt w:val="decimal"/>
      <w:lvlText w:val=""/>
      <w:lvlJc w:val="left"/>
    </w:lvl>
    <w:lvl w:ilvl="7" w:tplc="371CB66E">
      <w:numFmt w:val="decimal"/>
      <w:lvlText w:val=""/>
      <w:lvlJc w:val="left"/>
    </w:lvl>
    <w:lvl w:ilvl="8" w:tplc="26200418">
      <w:numFmt w:val="decimal"/>
      <w:lvlText w:val=""/>
      <w:lvlJc w:val="left"/>
    </w:lvl>
  </w:abstractNum>
  <w:abstractNum w:abstractNumId="1" w15:restartNumberingAfterBreak="0">
    <w:nsid w:val="64293735"/>
    <w:multiLevelType w:val="hybridMultilevel"/>
    <w:tmpl w:val="6158CE90"/>
    <w:lvl w:ilvl="0" w:tplc="E1287166">
      <w:start w:val="1"/>
      <w:numFmt w:val="bullet"/>
      <w:lvlText w:val="●"/>
      <w:lvlJc w:val="left"/>
      <w:pPr>
        <w:ind w:left="720" w:hanging="360"/>
      </w:pPr>
    </w:lvl>
    <w:lvl w:ilvl="1" w:tplc="BF34D050">
      <w:start w:val="1"/>
      <w:numFmt w:val="bullet"/>
      <w:lvlText w:val="○"/>
      <w:lvlJc w:val="left"/>
      <w:pPr>
        <w:ind w:left="1440" w:hanging="360"/>
      </w:pPr>
    </w:lvl>
    <w:lvl w:ilvl="2" w:tplc="37FADC78">
      <w:start w:val="1"/>
      <w:numFmt w:val="bullet"/>
      <w:lvlText w:val="■"/>
      <w:lvlJc w:val="left"/>
      <w:pPr>
        <w:ind w:left="2160" w:hanging="360"/>
      </w:pPr>
    </w:lvl>
    <w:lvl w:ilvl="3" w:tplc="71FC56FC">
      <w:start w:val="1"/>
      <w:numFmt w:val="bullet"/>
      <w:lvlText w:val="●"/>
      <w:lvlJc w:val="left"/>
      <w:pPr>
        <w:ind w:left="2880" w:hanging="360"/>
      </w:pPr>
    </w:lvl>
    <w:lvl w:ilvl="4" w:tplc="6142B844">
      <w:start w:val="1"/>
      <w:numFmt w:val="bullet"/>
      <w:lvlText w:val="○"/>
      <w:lvlJc w:val="left"/>
      <w:pPr>
        <w:ind w:left="3600" w:hanging="360"/>
      </w:pPr>
    </w:lvl>
    <w:lvl w:ilvl="5" w:tplc="AA3C6DE8">
      <w:start w:val="1"/>
      <w:numFmt w:val="bullet"/>
      <w:lvlText w:val="■"/>
      <w:lvlJc w:val="left"/>
      <w:pPr>
        <w:ind w:left="4320" w:hanging="360"/>
      </w:pPr>
    </w:lvl>
    <w:lvl w:ilvl="6" w:tplc="E9CE1284">
      <w:start w:val="1"/>
      <w:numFmt w:val="bullet"/>
      <w:lvlText w:val="●"/>
      <w:lvlJc w:val="left"/>
      <w:pPr>
        <w:ind w:left="5040" w:hanging="360"/>
      </w:pPr>
    </w:lvl>
    <w:lvl w:ilvl="7" w:tplc="C4464190">
      <w:start w:val="1"/>
      <w:numFmt w:val="bullet"/>
      <w:lvlText w:val="●"/>
      <w:lvlJc w:val="left"/>
      <w:pPr>
        <w:ind w:left="5760" w:hanging="360"/>
      </w:pPr>
    </w:lvl>
    <w:lvl w:ilvl="8" w:tplc="8376C7AC">
      <w:start w:val="1"/>
      <w:numFmt w:val="bullet"/>
      <w:lvlText w:val="●"/>
      <w:lvlJc w:val="left"/>
      <w:pPr>
        <w:ind w:left="6480" w:hanging="360"/>
      </w:pPr>
    </w:lvl>
  </w:abstractNum>
  <w:num w:numId="1" w16cid:durableId="481582622">
    <w:abstractNumId w:val="1"/>
    <w:lvlOverride w:ilvl="0">
      <w:startOverride w:val="1"/>
    </w:lvlOverride>
  </w:num>
  <w:num w:numId="2" w16cid:durableId="737558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AAC"/>
    <w:rsid w:val="00003AAC"/>
    <w:rsid w:val="00BF5818"/>
    <w:rsid w:val="00D224A6"/>
    <w:rsid w:val="00EA4008"/>
    <w:rsid w:val="00EA6D4C"/>
    <w:rsid w:val="00F91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6227"/>
  <w15:docId w15:val="{72D7DB77-A56E-4F82-BFC4-78AB75B2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370DF8BE-EE82-4979-8D88-BCC160CB8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B9CBE3-6592-4F15-AD62-B144CDB2C9E3}">
  <ds:schemaRefs>
    <ds:schemaRef ds:uri="http://schemas.microsoft.com/sharepoint/v3/contenttype/forms"/>
  </ds:schemaRefs>
</ds:datastoreItem>
</file>

<file path=customXml/itemProps3.xml><?xml version="1.0" encoding="utf-8"?>
<ds:datastoreItem xmlns:ds="http://schemas.openxmlformats.org/officeDocument/2006/customXml" ds:itemID="{23BA1245-0EA4-48FB-80F6-4784D246DBD9}">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Aminasahra Warsame</cp:lastModifiedBy>
  <cp:revision>2</cp:revision>
  <dcterms:created xsi:type="dcterms:W3CDTF">2026-05-06T19:10:00Z</dcterms:created>
  <dcterms:modified xsi:type="dcterms:W3CDTF">2026-05-06T19:10:00Z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